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统计局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84" w:lineRule="exact"/>
        <w:ind w:firstLine="660"/>
        <w:rPr>
          <w:rFonts w:ascii="仿宋" w:hAnsi="仿宋" w:eastAsia="仿宋"/>
          <w:sz w:val="32"/>
          <w:szCs w:val="32"/>
        </w:rPr>
      </w:pPr>
      <w:r>
        <w:rPr>
          <w:rFonts w:hint="eastAsia" w:ascii="仿宋" w:hAnsi="仿宋" w:eastAsia="仿宋"/>
          <w:sz w:val="32"/>
          <w:szCs w:val="32"/>
        </w:rPr>
        <w:t>1、依照国家和省颁布的法律、法规和政策，制定地方性统计工作规章制度和统计现代化建设计划，检查。监督统计法律、法规的实施。</w:t>
      </w:r>
    </w:p>
    <w:p>
      <w:pPr>
        <w:spacing w:line="584" w:lineRule="exact"/>
        <w:ind w:firstLine="660"/>
        <w:rPr>
          <w:rFonts w:ascii="仿宋" w:hAnsi="仿宋" w:eastAsia="仿宋"/>
          <w:sz w:val="32"/>
          <w:szCs w:val="32"/>
        </w:rPr>
      </w:pPr>
      <w:r>
        <w:rPr>
          <w:rFonts w:hint="eastAsia" w:ascii="仿宋" w:hAnsi="仿宋" w:eastAsia="仿宋"/>
          <w:sz w:val="32"/>
          <w:szCs w:val="32"/>
        </w:rPr>
        <w:t>2、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spacing w:line="584" w:lineRule="exact"/>
        <w:ind w:firstLine="660"/>
        <w:rPr>
          <w:rFonts w:ascii="仿宋" w:hAnsi="仿宋" w:eastAsia="仿宋"/>
          <w:sz w:val="32"/>
          <w:szCs w:val="32"/>
        </w:rPr>
      </w:pPr>
      <w:r>
        <w:rPr>
          <w:rFonts w:hint="eastAsia" w:ascii="仿宋" w:hAnsi="仿宋" w:eastAsia="仿宋"/>
          <w:sz w:val="32"/>
          <w:szCs w:val="32"/>
        </w:rPr>
        <w:t>3、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spacing w:line="584" w:lineRule="exact"/>
        <w:ind w:firstLine="660"/>
        <w:rPr>
          <w:rFonts w:ascii="仿宋" w:hAnsi="仿宋" w:eastAsia="仿宋"/>
          <w:sz w:val="32"/>
          <w:szCs w:val="32"/>
        </w:rPr>
      </w:pPr>
      <w:r>
        <w:rPr>
          <w:rFonts w:hint="eastAsia" w:ascii="仿宋" w:hAnsi="仿宋" w:eastAsia="仿宋"/>
          <w:sz w:val="32"/>
          <w:szCs w:val="32"/>
        </w:rPr>
        <w:t>4、统一核定、管理全县性的基本统计资料，发布全县国民经济和社会发展情况的统计信息。</w:t>
      </w:r>
    </w:p>
    <w:p>
      <w:pPr>
        <w:spacing w:line="584" w:lineRule="exact"/>
        <w:ind w:firstLine="660"/>
        <w:rPr>
          <w:rFonts w:ascii="Times New Roman" w:hAnsi="Times New Roman" w:eastAsia="仿宋_GB2312" w:cs="Times New Roman"/>
          <w:sz w:val="32"/>
          <w:szCs w:val="32"/>
        </w:rPr>
      </w:pPr>
      <w:r>
        <w:rPr>
          <w:rFonts w:hint="eastAsia" w:ascii="仿宋" w:hAnsi="仿宋" w:eastAsia="仿宋"/>
          <w:sz w:val="32"/>
          <w:szCs w:val="32"/>
        </w:rPr>
        <w:t>5、承办县委、县政府交办的其他事项</w:t>
      </w:r>
      <w:r>
        <w:rPr>
          <w:rFonts w:hint="eastAsia" w:ascii="仿宋" w:hAnsi="仿宋" w:eastAsia="仿宋"/>
          <w:sz w:val="32"/>
          <w:szCs w:val="32"/>
          <w:lang w:eastAsia="zh-CN"/>
        </w:rPr>
        <w:t>。</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香河县</w:t>
            </w:r>
            <w:r>
              <w:rPr>
                <w:rFonts w:ascii="Times New Roman" w:hAnsi="Times New Roman" w:eastAsia="仿宋_GB2312" w:cs="Times New Roman"/>
                <w:b/>
              </w:rPr>
              <w:t>统计局</w:t>
            </w:r>
          </w:p>
        </w:tc>
        <w:tc>
          <w:tcPr>
            <w:tcW w:w="1134"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行政</w:t>
            </w:r>
          </w:p>
        </w:tc>
        <w:tc>
          <w:tcPr>
            <w:tcW w:w="1276"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kern w:val="2"/>
                <w:sz w:val="21"/>
                <w:szCs w:val="22"/>
                <w:lang w:val="en-US" w:eastAsia="zh-CN" w:bidi="ar-SA"/>
              </w:rPr>
            </w:pPr>
            <w:r>
              <w:rPr>
                <w:rFonts w:hint="eastAsia" w:ascii="Times New Roman" w:hAnsi="Times New Roman" w:eastAsia="仿宋_GB2312" w:cs="Times New Roman"/>
                <w:b/>
              </w:rPr>
              <w:t>财政拨款（</w:t>
            </w:r>
            <w:r>
              <w:rPr>
                <w:rFonts w:ascii="Times New Roman" w:hAnsi="Times New Roman" w:eastAsia="仿宋_GB2312" w:cs="Times New Roman"/>
                <w:b/>
              </w:rPr>
              <w:t>行政）</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按照预算管理有关规定，目前我县部门预算的编制实行综合预算制度，即全部收入和支出都反映在预算中。香河县</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机关</w:t>
      </w:r>
      <w:r>
        <w:rPr>
          <w:rFonts w:ascii="Times New Roman" w:hAnsi="Times New Roman" w:eastAsia="仿宋_GB2312" w:cs="Times New Roman"/>
          <w:color w:val="000000" w:themeColor="text1"/>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989.18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989.18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989.18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690.62</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628.24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62.38</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298.56</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第五次全国经济普查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统计基层基础建设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统计改革</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989.18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lang w:val="en-US" w:eastAsia="zh-CN"/>
        </w:rPr>
        <w:t>367.04</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68.48</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人员项目经费的</w:t>
      </w:r>
      <w:r>
        <w:rPr>
          <w:rFonts w:ascii="Times New Roman" w:hAnsi="Times New Roman" w:eastAsia="仿宋_GB2312" w:cs="Times New Roman"/>
          <w:sz w:val="32"/>
          <w:szCs w:val="32"/>
        </w:rPr>
        <w:t>支出；项目支出增加</w:t>
      </w:r>
      <w:r>
        <w:rPr>
          <w:rFonts w:hint="eastAsia" w:ascii="Times New Roman" w:hAnsi="Times New Roman" w:eastAsia="仿宋_GB2312" w:cs="Times New Roman"/>
          <w:sz w:val="32"/>
          <w:szCs w:val="32"/>
          <w:lang w:val="en-US" w:eastAsia="zh-CN"/>
        </w:rPr>
        <w:t>207.29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租金</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lang w:val="en-US" w:eastAsia="zh-CN"/>
        </w:rPr>
        <w:t>62.38</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FF0000"/>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lang w:val="en-US" w:eastAsia="zh-CN"/>
        </w:rPr>
        <w:t>2.11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1.71</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0.4</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万元（其中：公务用车购置费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0.19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：我部门切实落实勤俭节约各项规定，压减公车运行经费支出。</w:t>
      </w:r>
      <w:r>
        <w:rPr>
          <w:rFonts w:ascii="Times New Roman" w:hAnsi="Times New Roman" w:eastAsia="仿宋_GB2312" w:cs="Times New Roman"/>
          <w:sz w:val="32"/>
          <w:szCs w:val="32"/>
        </w:rPr>
        <w:t>公务接待费</w:t>
      </w:r>
      <w:r>
        <w:rPr>
          <w:rFonts w:hint="eastAsia" w:ascii="仿宋_GB2312" w:hAnsi="Times New Roman" w:eastAsia="仿宋_GB2312" w:cs="Times New Roman"/>
          <w:color w:val="000000" w:themeColor="text1"/>
          <w:sz w:val="32"/>
          <w:szCs w:val="32"/>
        </w:rPr>
        <w:t>与2022年相比持平，无增减变化</w:t>
      </w:r>
      <w:r>
        <w:rPr>
          <w:rFonts w:hint="eastAsia" w:ascii="仿宋_GB2312" w:hAnsi="Times New Roman" w:eastAsia="仿宋_GB2312" w:cs="Times New Roman"/>
          <w:color w:val="000000" w:themeColor="text1"/>
          <w:sz w:val="32"/>
          <w:szCs w:val="32"/>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1、规划、协调全县社会、经济统计信息咨询服务活动，积极培育和发展信息咨询服务市场，接受国内外统计信息用户的委托，承担各项统计的调查任务。</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2、强化全局意识。从大局出发，从促进全县经济社会发</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展的实际出发，围绕县委、县政府的中心工作，在统计分析上下功夫，进一步提高分析、监测水平，进行周密的研究规划，树立精品意识，及时提供针对性强的服务。同时要建立起较为完善的统计监测体系，提高对经济社会运行的预测性和把握能力，树立统计服务责任意识，建立完善的奖励机制，把统计服务做强做大。</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3、强化时效意识。要在第一时间反映问题、搞好服务，使服务于决策之前，使统计工作成为决策不可或缺的组成部分。加大对基层统计报表单位统计工作的管理力度，协调解决好街道及社区统计单位统计人员、办公设施和必要的统计调查条件，使基层统计单位能够按照上级统计部门的要求，有健全的机构和人员，能准确及时全面的提供各种统计资料，达到提高统计数据质量的目的。</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4、规范企业统计台帐、核算办法和处理程序，确保主要数据不出问题，相关指标经得起检查。</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（二）分项绩效目标</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一、香河县统计局主要职责</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1、依照国家和省颁布的法律、法规和政策，制定地方性统计工作规章制度和统计现代化建设计划，检查。监督统计法律、法规的实施。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2、贯彻执行国家和省、市建立的国民核算体系，统计指标体系和全国统一的基本统计报表制度，结合我县情况完善和统一管理全县各项核算制度，制定地方统计调查制度，协调全县各部门及各乡镇统计工作和国民经济核算工作，统一组织、管理全县统计报表工作。</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3、在县政府统一领导下，会同有关部门统一组织领导，完成各级各种普查或抽样调查，统一组织、协调全县各部门及各乡镇的社会经济调查，组织完成国家、省、市部署的各项调查任务，搜集，整理提供全县的基本统计资料，并对全县经济运行状态进行统计分析、统计预测和统计监督，向县委县政府及有关部门提供咨询建议</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4、统一核定、管理全县性的基本统计资料，发布全县国民经济和社会发展情况的统计信息。</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5、承办县委、县政府交办的其他事项。</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二、部门预算单位构成</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香河县统计局部门预算为县本级预算，没有下属单位。</w:t>
      </w:r>
    </w:p>
    <w:p>
      <w:pPr>
        <w:spacing w:line="584" w:lineRule="exact"/>
        <w:ind w:firstLine="643" w:firstLineChars="200"/>
        <w:rPr>
          <w:rFonts w:ascii="楷体" w:hAnsi="楷体" w:eastAsia="楷体"/>
          <w:b/>
          <w:sz w:val="32"/>
          <w:szCs w:val="32"/>
        </w:rPr>
      </w:pPr>
      <w:r>
        <w:rPr>
          <w:rFonts w:hint="eastAsia" w:ascii="楷体" w:hAnsi="楷体" w:eastAsia="楷体"/>
          <w:b/>
          <w:sz w:val="32"/>
          <w:szCs w:val="32"/>
        </w:rPr>
        <w:t>（三）工作保障措施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一、实现年度发展规划目标的保障措施</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  香河县统计局本年度发展规划</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1、组织全县统计专业资格考试和评审工作，负责全县统计人员持证上岗资格的培训、申报。</w:t>
      </w:r>
    </w:p>
    <w:p>
      <w:pPr>
        <w:spacing w:line="584" w:lineRule="exact"/>
        <w:ind w:firstLine="640" w:firstLineChars="200"/>
        <w:rPr>
          <w:rFonts w:hint="eastAsia" w:ascii="仿宋_GB2312" w:hAnsi="黑体" w:eastAsia="仿宋_GB2312"/>
          <w:sz w:val="32"/>
          <w:szCs w:val="32"/>
        </w:rPr>
      </w:pPr>
      <w:r>
        <w:rPr>
          <w:rFonts w:hint="eastAsia" w:ascii="仿宋_GB2312" w:hAnsi="黑体" w:eastAsia="仿宋_GB2312"/>
          <w:sz w:val="32"/>
          <w:szCs w:val="32"/>
        </w:rPr>
        <w:t xml:space="preserve">2、在县政府统一领导下，完成国家、省、市布置的城镇住户基本情况抽样调查、城乡划分清查工作、经济普查及各项调查工作。 </w:t>
      </w:r>
    </w:p>
    <w:p>
      <w:pPr>
        <w:spacing w:line="584" w:lineRule="exact"/>
        <w:ind w:firstLine="640" w:firstLineChars="200"/>
        <w:rPr>
          <w:rFonts w:ascii="仿宋_GB2312" w:hAnsi="黑体" w:eastAsia="仿宋_GB2312"/>
          <w:sz w:val="32"/>
          <w:szCs w:val="32"/>
        </w:rPr>
      </w:pPr>
      <w:r>
        <w:rPr>
          <w:rFonts w:hint="eastAsia" w:ascii="仿宋_GB2312" w:hAnsi="黑体" w:eastAsia="仿宋_GB2312"/>
          <w:sz w:val="32"/>
          <w:szCs w:val="32"/>
        </w:rPr>
        <w:t xml:space="preserve">3、协调各镇（乡）、各部门社会经济调查，汇总、整理全县基本统计资料；对国民经济、科技进步和社会发展等情况进行统计分析、预测、监督和考核，向县委、县政府及有关部门提供统计信息和咨询建议。 </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before="0" w:after="0"/>
        <w:ind w:firstLine="560"/>
        <w:jc w:val="left"/>
        <w:outlineLvl w:val="3"/>
      </w:pPr>
      <w:bookmarkStart w:id="0" w:name="_Toc_4_4_0000000004"/>
      <w:r>
        <w:rPr>
          <w:rFonts w:ascii="方正仿宋_GBK" w:hAnsi="方正仿宋_GBK" w:eastAsia="方正仿宋_GBK" w:cs="方正仿宋_GBK"/>
          <w:color w:val="000000"/>
          <w:sz w:val="28"/>
        </w:rPr>
        <w:t>1.搬迁费用绩效目标表</w:t>
      </w:r>
      <w:bookmarkEnd w:id="0"/>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13102423P00783810113C</w:t>
            </w:r>
          </w:p>
        </w:tc>
        <w:tc>
          <w:tcPr>
            <w:tcW w:w="1587" w:type="dxa"/>
            <w:vAlign w:val="center"/>
          </w:tcPr>
          <w:p>
            <w:pPr>
              <w:pStyle w:val="16"/>
            </w:pPr>
            <w:r>
              <w:t>项目名称</w:t>
            </w:r>
          </w:p>
        </w:tc>
        <w:tc>
          <w:tcPr>
            <w:tcW w:w="4422" w:type="dxa"/>
            <w:gridSpan w:val="3"/>
            <w:vAlign w:val="center"/>
          </w:tcPr>
          <w:p>
            <w:pPr>
              <w:pStyle w:val="18"/>
            </w:pPr>
            <w:r>
              <w:t>搬迁费用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10.00</w:t>
            </w:r>
          </w:p>
        </w:tc>
        <w:tc>
          <w:tcPr>
            <w:tcW w:w="1587" w:type="dxa"/>
            <w:vAlign w:val="center"/>
          </w:tcPr>
          <w:p>
            <w:pPr>
              <w:pStyle w:val="16"/>
            </w:pPr>
            <w:r>
              <w:t>其中：财政    资金</w:t>
            </w:r>
          </w:p>
        </w:tc>
        <w:tc>
          <w:tcPr>
            <w:tcW w:w="1304" w:type="dxa"/>
            <w:vAlign w:val="center"/>
          </w:tcPr>
          <w:p>
            <w:pPr>
              <w:pStyle w:val="18"/>
            </w:pPr>
            <w:r>
              <w:t>10.00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按照县政府工作安排，县统计局、县地方志编纂中心、县北运河、潮白河香河段事务中心及县交通局地方道路管理站四部门拟搬迁至原武装部办公楼。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1.按照县政府工作安排，县统计局、县地方志编纂中心、县北运河、潮白河香河段事务中心及县交通局地方道路管理站四部门拟搬迁至原武装部办公楼。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搬迁完成率</w:t>
            </w:r>
          </w:p>
        </w:tc>
        <w:tc>
          <w:tcPr>
            <w:tcW w:w="2891" w:type="dxa"/>
            <w:vAlign w:val="center"/>
          </w:tcPr>
          <w:p>
            <w:pPr>
              <w:pStyle w:val="18"/>
            </w:pPr>
            <w:r>
              <w:t>搬迁任务完成率</w:t>
            </w:r>
          </w:p>
        </w:tc>
        <w:tc>
          <w:tcPr>
            <w:tcW w:w="1276" w:type="dxa"/>
            <w:vAlign w:val="center"/>
          </w:tcPr>
          <w:p>
            <w:pPr>
              <w:pStyle w:val="18"/>
            </w:pPr>
            <w:r>
              <w:t>≥95百分比</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完成时限</w:t>
            </w:r>
          </w:p>
        </w:tc>
        <w:tc>
          <w:tcPr>
            <w:tcW w:w="2891" w:type="dxa"/>
            <w:vAlign w:val="center"/>
          </w:tcPr>
          <w:p>
            <w:pPr>
              <w:pStyle w:val="18"/>
            </w:pPr>
            <w:r>
              <w:t>规定时间完成合格率</w:t>
            </w:r>
          </w:p>
        </w:tc>
        <w:tc>
          <w:tcPr>
            <w:tcW w:w="1276" w:type="dxa"/>
            <w:vAlign w:val="center"/>
          </w:tcPr>
          <w:p>
            <w:pPr>
              <w:pStyle w:val="18"/>
            </w:pPr>
            <w:r>
              <w:t>≥95百分比</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费用执行率</w:t>
            </w:r>
          </w:p>
        </w:tc>
        <w:tc>
          <w:tcPr>
            <w:tcW w:w="2891" w:type="dxa"/>
            <w:vAlign w:val="center"/>
          </w:tcPr>
          <w:p>
            <w:pPr>
              <w:pStyle w:val="18"/>
            </w:pPr>
            <w:r>
              <w:t>费用执行率</w:t>
            </w:r>
          </w:p>
        </w:tc>
        <w:tc>
          <w:tcPr>
            <w:tcW w:w="1276" w:type="dxa"/>
            <w:vAlign w:val="center"/>
          </w:tcPr>
          <w:p>
            <w:pPr>
              <w:pStyle w:val="18"/>
            </w:pPr>
            <w:r>
              <w:t>≥95百分比</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项目资金总投入</w:t>
            </w:r>
          </w:p>
        </w:tc>
        <w:tc>
          <w:tcPr>
            <w:tcW w:w="2891" w:type="dxa"/>
            <w:vAlign w:val="center"/>
          </w:tcPr>
          <w:p>
            <w:pPr>
              <w:pStyle w:val="18"/>
            </w:pPr>
            <w:r>
              <w:t>搬迁成本</w:t>
            </w:r>
          </w:p>
        </w:tc>
        <w:tc>
          <w:tcPr>
            <w:tcW w:w="1276" w:type="dxa"/>
            <w:vAlign w:val="center"/>
          </w:tcPr>
          <w:p>
            <w:pPr>
              <w:pStyle w:val="18"/>
            </w:pPr>
            <w:r>
              <w:t>≤10万元</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确保本单位的正常运转</w:t>
            </w:r>
          </w:p>
        </w:tc>
        <w:tc>
          <w:tcPr>
            <w:tcW w:w="2891" w:type="dxa"/>
            <w:vAlign w:val="center"/>
          </w:tcPr>
          <w:p>
            <w:pPr>
              <w:pStyle w:val="18"/>
            </w:pPr>
            <w:r>
              <w:t>搬迁到原武装部办公楼</w:t>
            </w:r>
          </w:p>
        </w:tc>
        <w:tc>
          <w:tcPr>
            <w:tcW w:w="1276" w:type="dxa"/>
            <w:vAlign w:val="center"/>
          </w:tcPr>
          <w:p>
            <w:pPr>
              <w:pStyle w:val="18"/>
            </w:pPr>
            <w:r>
              <w:t>有一定的社会效益</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起到保障单位日常运行稳定的作用</w:t>
            </w:r>
          </w:p>
        </w:tc>
        <w:tc>
          <w:tcPr>
            <w:tcW w:w="2891" w:type="dxa"/>
            <w:vAlign w:val="center"/>
          </w:tcPr>
          <w:p>
            <w:pPr>
              <w:pStyle w:val="18"/>
            </w:pPr>
            <w:r>
              <w:t>搬迁到员武装部办公楼</w:t>
            </w:r>
          </w:p>
        </w:tc>
        <w:tc>
          <w:tcPr>
            <w:tcW w:w="1276" w:type="dxa"/>
            <w:vAlign w:val="center"/>
          </w:tcPr>
          <w:p>
            <w:pPr>
              <w:pStyle w:val="18"/>
            </w:pPr>
            <w:r>
              <w:t>有一定的可持续作用</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受益群体满意度</w:t>
            </w:r>
          </w:p>
        </w:tc>
        <w:tc>
          <w:tcPr>
            <w:tcW w:w="2891" w:type="dxa"/>
            <w:vAlign w:val="center"/>
          </w:tcPr>
          <w:p>
            <w:pPr>
              <w:pStyle w:val="18"/>
            </w:pPr>
            <w:r>
              <w:t>职工满意度</w:t>
            </w:r>
          </w:p>
        </w:tc>
        <w:tc>
          <w:tcPr>
            <w:tcW w:w="1276" w:type="dxa"/>
            <w:vAlign w:val="center"/>
          </w:tcPr>
          <w:p>
            <w:pPr>
              <w:pStyle w:val="18"/>
            </w:pPr>
            <w:r>
              <w:t>≥95百分比</w:t>
            </w:r>
          </w:p>
        </w:tc>
        <w:tc>
          <w:tcPr>
            <w:tcW w:w="1843" w:type="dxa"/>
            <w:vAlign w:val="center"/>
          </w:tcPr>
          <w:p>
            <w:pPr>
              <w:pStyle w:val="18"/>
            </w:pPr>
            <w:r>
              <w:t>根据满意度调查问卷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1" w:name="_Toc_4_4_0000000005"/>
      <w:r>
        <w:rPr>
          <w:rFonts w:ascii="方正仿宋_GBK" w:hAnsi="方正仿宋_GBK" w:eastAsia="方正仿宋_GBK" w:cs="方正仿宋_GBK"/>
          <w:color w:val="000000"/>
          <w:sz w:val="28"/>
        </w:rPr>
        <w:t>2.第五次全国经济普查绩效目标表</w:t>
      </w:r>
      <w:bookmarkEnd w:id="1"/>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13102423P00783810112Q</w:t>
            </w:r>
          </w:p>
        </w:tc>
        <w:tc>
          <w:tcPr>
            <w:tcW w:w="1587" w:type="dxa"/>
            <w:vAlign w:val="center"/>
          </w:tcPr>
          <w:p>
            <w:pPr>
              <w:pStyle w:val="16"/>
            </w:pPr>
            <w:r>
              <w:t>项目名称</w:t>
            </w:r>
          </w:p>
        </w:tc>
        <w:tc>
          <w:tcPr>
            <w:tcW w:w="4422" w:type="dxa"/>
            <w:gridSpan w:val="3"/>
            <w:vAlign w:val="center"/>
          </w:tcPr>
          <w:p>
            <w:pPr>
              <w:pStyle w:val="18"/>
            </w:pPr>
            <w:r>
              <w:t>第五次全国经济普查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39.42</w:t>
            </w:r>
          </w:p>
        </w:tc>
        <w:tc>
          <w:tcPr>
            <w:tcW w:w="1587" w:type="dxa"/>
            <w:vAlign w:val="center"/>
          </w:tcPr>
          <w:p>
            <w:pPr>
              <w:pStyle w:val="16"/>
            </w:pPr>
            <w:r>
              <w:t>其中：财政    资金</w:t>
            </w:r>
          </w:p>
        </w:tc>
        <w:tc>
          <w:tcPr>
            <w:tcW w:w="1304" w:type="dxa"/>
            <w:vAlign w:val="center"/>
          </w:tcPr>
          <w:p>
            <w:pPr>
              <w:pStyle w:val="18"/>
            </w:pPr>
            <w:r>
              <w:t>39.42</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从2023年10月开始安排第五次全国经济普查，普查的主要内容包括普查对象的基本情况、组织结构、人员工资、生产能力、财务状况、生产经营和服务活动、能源消费、研发活动、信息化建设和电子商务交易情况等。项目预计2024年结束。在项目实施过程统计局主要承担普查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印刷品合格率(%)</w:t>
            </w:r>
          </w:p>
        </w:tc>
        <w:tc>
          <w:tcPr>
            <w:tcW w:w="2891" w:type="dxa"/>
            <w:vAlign w:val="center"/>
          </w:tcPr>
          <w:p>
            <w:pPr>
              <w:pStyle w:val="18"/>
            </w:pPr>
            <w:r>
              <w:t>印刷品合格率(%)</w:t>
            </w:r>
          </w:p>
        </w:tc>
        <w:tc>
          <w:tcPr>
            <w:tcW w:w="1276" w:type="dxa"/>
            <w:vAlign w:val="center"/>
          </w:tcPr>
          <w:p>
            <w:pPr>
              <w:pStyle w:val="18"/>
            </w:pPr>
            <w:r>
              <w:t>≥95百分比</w:t>
            </w:r>
          </w:p>
        </w:tc>
        <w:tc>
          <w:tcPr>
            <w:tcW w:w="1843" w:type="dxa"/>
            <w:vAlign w:val="center"/>
          </w:tcPr>
          <w:p>
            <w:pPr>
              <w:pStyle w:val="18"/>
            </w:pPr>
            <w:r>
              <w:t>依据工作计划，工作方案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培训出勤率（%）</w:t>
            </w:r>
          </w:p>
        </w:tc>
        <w:tc>
          <w:tcPr>
            <w:tcW w:w="2891" w:type="dxa"/>
            <w:vAlign w:val="center"/>
          </w:tcPr>
          <w:p>
            <w:pPr>
              <w:pStyle w:val="18"/>
            </w:pPr>
            <w:r>
              <w:t>培训出勤率（%）</w:t>
            </w:r>
          </w:p>
        </w:tc>
        <w:tc>
          <w:tcPr>
            <w:tcW w:w="1276" w:type="dxa"/>
            <w:vAlign w:val="center"/>
          </w:tcPr>
          <w:p>
            <w:pPr>
              <w:pStyle w:val="18"/>
            </w:pPr>
            <w:r>
              <w:t>≥95百分比</w:t>
            </w:r>
          </w:p>
        </w:tc>
        <w:tc>
          <w:tcPr>
            <w:tcW w:w="1843" w:type="dxa"/>
            <w:vAlign w:val="center"/>
          </w:tcPr>
          <w:p>
            <w:pPr>
              <w:pStyle w:val="18"/>
            </w:pPr>
            <w:r>
              <w:t>依据工作计划，工作方案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按期完成率</w:t>
            </w:r>
          </w:p>
        </w:tc>
        <w:tc>
          <w:tcPr>
            <w:tcW w:w="2891" w:type="dxa"/>
            <w:vAlign w:val="center"/>
          </w:tcPr>
          <w:p>
            <w:pPr>
              <w:pStyle w:val="18"/>
            </w:pPr>
            <w:r>
              <w:t>按期完成率</w:t>
            </w:r>
          </w:p>
        </w:tc>
        <w:tc>
          <w:tcPr>
            <w:tcW w:w="1276" w:type="dxa"/>
            <w:vAlign w:val="center"/>
          </w:tcPr>
          <w:p>
            <w:pPr>
              <w:pStyle w:val="18"/>
            </w:pPr>
            <w:r>
              <w:t>≥95百分比</w:t>
            </w:r>
          </w:p>
        </w:tc>
        <w:tc>
          <w:tcPr>
            <w:tcW w:w="1843" w:type="dxa"/>
            <w:vAlign w:val="center"/>
          </w:tcPr>
          <w:p>
            <w:pPr>
              <w:pStyle w:val="18"/>
            </w:pPr>
            <w:r>
              <w:t>依据工作计划，工作方案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≥95百分比</w:t>
            </w:r>
          </w:p>
        </w:tc>
        <w:tc>
          <w:tcPr>
            <w:tcW w:w="1843" w:type="dxa"/>
            <w:vAlign w:val="center"/>
          </w:tcPr>
          <w:p>
            <w:pPr>
              <w:pStyle w:val="18"/>
            </w:pPr>
            <w:r>
              <w:t>依据工作计划，工作方案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≥5年</w:t>
            </w:r>
          </w:p>
        </w:tc>
        <w:tc>
          <w:tcPr>
            <w:tcW w:w="1843" w:type="dxa"/>
            <w:vAlign w:val="center"/>
          </w:tcPr>
          <w:p>
            <w:pPr>
              <w:pStyle w:val="18"/>
            </w:pPr>
            <w:r>
              <w:t>根据项目预期产生的效果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可持续性服务</w:t>
            </w:r>
          </w:p>
        </w:tc>
        <w:tc>
          <w:tcPr>
            <w:tcW w:w="2891" w:type="dxa"/>
            <w:vAlign w:val="center"/>
          </w:tcPr>
          <w:p>
            <w:pPr>
              <w:pStyle w:val="18"/>
            </w:pPr>
            <w:r>
              <w:t>可持续性服务</w:t>
            </w:r>
          </w:p>
        </w:tc>
        <w:tc>
          <w:tcPr>
            <w:tcW w:w="1276" w:type="dxa"/>
            <w:vAlign w:val="center"/>
          </w:tcPr>
          <w:p>
            <w:pPr>
              <w:pStyle w:val="18"/>
            </w:pPr>
            <w:r>
              <w:t>有一定的可持续影响</w:t>
            </w:r>
          </w:p>
        </w:tc>
        <w:tc>
          <w:tcPr>
            <w:tcW w:w="1843" w:type="dxa"/>
            <w:vAlign w:val="center"/>
          </w:tcPr>
          <w:p>
            <w:pPr>
              <w:pStyle w:val="18"/>
            </w:pPr>
            <w:r>
              <w:t>根据项目预期产生的效果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普查对象满意度抽查</w:t>
            </w:r>
          </w:p>
        </w:tc>
        <w:tc>
          <w:tcPr>
            <w:tcW w:w="2891" w:type="dxa"/>
            <w:vAlign w:val="center"/>
          </w:tcPr>
          <w:p>
            <w:pPr>
              <w:pStyle w:val="18"/>
            </w:pPr>
            <w:r>
              <w:t>普查对象满意度抽查</w:t>
            </w:r>
          </w:p>
        </w:tc>
        <w:tc>
          <w:tcPr>
            <w:tcW w:w="1276" w:type="dxa"/>
            <w:vAlign w:val="center"/>
          </w:tcPr>
          <w:p>
            <w:pPr>
              <w:pStyle w:val="18"/>
            </w:pPr>
            <w:r>
              <w:t>≥95百分比</w:t>
            </w:r>
          </w:p>
        </w:tc>
        <w:tc>
          <w:tcPr>
            <w:tcW w:w="1843" w:type="dxa"/>
            <w:vAlign w:val="center"/>
          </w:tcPr>
          <w:p>
            <w:pPr>
              <w:pStyle w:val="18"/>
            </w:pPr>
            <w:r>
              <w:t>根据满意度调查问卷或者数据统计</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2" w:name="_Toc_4_4_0000000006"/>
      <w:r>
        <w:rPr>
          <w:rFonts w:ascii="方正仿宋_GBK" w:hAnsi="方正仿宋_GBK" w:eastAsia="方正仿宋_GBK" w:cs="方正仿宋_GBK"/>
          <w:color w:val="000000"/>
          <w:sz w:val="28"/>
        </w:rPr>
        <w:t>3.对原武装部办公楼改造费用绩效目标表</w:t>
      </w:r>
      <w:bookmarkEnd w:id="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13102423P007838101140</w:t>
            </w:r>
          </w:p>
        </w:tc>
        <w:tc>
          <w:tcPr>
            <w:tcW w:w="1587" w:type="dxa"/>
            <w:vAlign w:val="center"/>
          </w:tcPr>
          <w:p>
            <w:pPr>
              <w:pStyle w:val="16"/>
            </w:pPr>
            <w:r>
              <w:t>项目名称</w:t>
            </w:r>
          </w:p>
        </w:tc>
        <w:tc>
          <w:tcPr>
            <w:tcW w:w="4422" w:type="dxa"/>
            <w:gridSpan w:val="3"/>
            <w:vAlign w:val="center"/>
          </w:tcPr>
          <w:p>
            <w:pPr>
              <w:pStyle w:val="18"/>
            </w:pPr>
            <w:r>
              <w:t>对原武装部办公楼改造费用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按照县政府工作安排，县统计局、县地方志编纂中心、县北运河、潮白河香河段事务中心及县交通局地方道路管理站四部门拟搬迁至原武装部办公楼。</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1.按照县政府工作安排，县统计局、县地方志编纂中心、县北运河、潮白河香河段事务中心及县交通局地方道路管理站四部门拟搬迁至原武装部办公楼。</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修缮改造任务完成率（%）</w:t>
            </w:r>
          </w:p>
        </w:tc>
        <w:tc>
          <w:tcPr>
            <w:tcW w:w="2891" w:type="dxa"/>
            <w:vAlign w:val="center"/>
          </w:tcPr>
          <w:p>
            <w:pPr>
              <w:pStyle w:val="18"/>
            </w:pPr>
            <w:r>
              <w:t>修缮改造任务完成率（%）</w:t>
            </w:r>
          </w:p>
        </w:tc>
        <w:tc>
          <w:tcPr>
            <w:tcW w:w="1276" w:type="dxa"/>
            <w:vAlign w:val="center"/>
          </w:tcPr>
          <w:p>
            <w:pPr>
              <w:pStyle w:val="18"/>
            </w:pPr>
            <w:r>
              <w:t>≥95百分比</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修缮建筑验收合格率（%）</w:t>
            </w:r>
          </w:p>
        </w:tc>
        <w:tc>
          <w:tcPr>
            <w:tcW w:w="2891" w:type="dxa"/>
            <w:vAlign w:val="center"/>
          </w:tcPr>
          <w:p>
            <w:pPr>
              <w:pStyle w:val="18"/>
            </w:pPr>
            <w:r>
              <w:t>修缮建筑验收合格率（%）</w:t>
            </w:r>
          </w:p>
        </w:tc>
        <w:tc>
          <w:tcPr>
            <w:tcW w:w="1276" w:type="dxa"/>
            <w:vAlign w:val="center"/>
          </w:tcPr>
          <w:p>
            <w:pPr>
              <w:pStyle w:val="18"/>
            </w:pPr>
            <w:r>
              <w:t>≥95百分比</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设施修缮响应时间</w:t>
            </w:r>
          </w:p>
        </w:tc>
        <w:tc>
          <w:tcPr>
            <w:tcW w:w="2891" w:type="dxa"/>
            <w:vAlign w:val="center"/>
          </w:tcPr>
          <w:p>
            <w:pPr>
              <w:pStyle w:val="18"/>
            </w:pPr>
            <w:r>
              <w:t>设施修缮响应时间</w:t>
            </w:r>
          </w:p>
        </w:tc>
        <w:tc>
          <w:tcPr>
            <w:tcW w:w="1276" w:type="dxa"/>
            <w:vAlign w:val="center"/>
          </w:tcPr>
          <w:p>
            <w:pPr>
              <w:pStyle w:val="18"/>
            </w:pPr>
            <w:r>
              <w:t>≥1年</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项目建设成本</w:t>
            </w:r>
          </w:p>
        </w:tc>
        <w:tc>
          <w:tcPr>
            <w:tcW w:w="2891" w:type="dxa"/>
            <w:vAlign w:val="center"/>
          </w:tcPr>
          <w:p>
            <w:pPr>
              <w:pStyle w:val="18"/>
            </w:pPr>
            <w:r>
              <w:t>项目建设成本</w:t>
            </w:r>
          </w:p>
        </w:tc>
        <w:tc>
          <w:tcPr>
            <w:tcW w:w="1276" w:type="dxa"/>
            <w:vAlign w:val="center"/>
          </w:tcPr>
          <w:p>
            <w:pPr>
              <w:pStyle w:val="18"/>
            </w:pPr>
            <w:r>
              <w:t>≤5万元</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设备设施得到修缮加固</w:t>
            </w:r>
          </w:p>
        </w:tc>
        <w:tc>
          <w:tcPr>
            <w:tcW w:w="2891" w:type="dxa"/>
            <w:vAlign w:val="center"/>
          </w:tcPr>
          <w:p>
            <w:pPr>
              <w:pStyle w:val="18"/>
            </w:pPr>
            <w:r>
              <w:t>设备设施得到修缮加固</w:t>
            </w:r>
          </w:p>
        </w:tc>
        <w:tc>
          <w:tcPr>
            <w:tcW w:w="1276" w:type="dxa"/>
            <w:vAlign w:val="center"/>
          </w:tcPr>
          <w:p>
            <w:pPr>
              <w:pStyle w:val="18"/>
            </w:pPr>
            <w:r>
              <w:t>有一定的社会效益</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对原武装部办公楼进行修缮改造</w:t>
            </w:r>
          </w:p>
        </w:tc>
        <w:tc>
          <w:tcPr>
            <w:tcW w:w="2891" w:type="dxa"/>
            <w:vAlign w:val="center"/>
          </w:tcPr>
          <w:p>
            <w:pPr>
              <w:pStyle w:val="18"/>
            </w:pPr>
            <w:r>
              <w:t>起到保障单位日常运行稳定的作用</w:t>
            </w:r>
          </w:p>
        </w:tc>
        <w:tc>
          <w:tcPr>
            <w:tcW w:w="1276" w:type="dxa"/>
            <w:vAlign w:val="center"/>
          </w:tcPr>
          <w:p>
            <w:pPr>
              <w:pStyle w:val="18"/>
            </w:pPr>
            <w:r>
              <w:t>≥10年</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本单位职工满意度</w:t>
            </w:r>
          </w:p>
        </w:tc>
        <w:tc>
          <w:tcPr>
            <w:tcW w:w="2891" w:type="dxa"/>
            <w:vAlign w:val="center"/>
          </w:tcPr>
          <w:p>
            <w:pPr>
              <w:pStyle w:val="18"/>
            </w:pPr>
            <w:r>
              <w:t>本单位职工满意度</w:t>
            </w:r>
          </w:p>
        </w:tc>
        <w:tc>
          <w:tcPr>
            <w:tcW w:w="1276" w:type="dxa"/>
            <w:vAlign w:val="center"/>
          </w:tcPr>
          <w:p>
            <w:pPr>
              <w:pStyle w:val="18"/>
            </w:pPr>
            <w:r>
              <w:t>≥95百分比</w:t>
            </w:r>
          </w:p>
        </w:tc>
        <w:tc>
          <w:tcPr>
            <w:tcW w:w="1843" w:type="dxa"/>
            <w:vAlign w:val="center"/>
          </w:tcPr>
          <w:p>
            <w:pPr>
              <w:pStyle w:val="18"/>
            </w:pPr>
            <w:r>
              <w:t>根据满意度调查问卷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3" w:name="_Toc_4_4_0000000007"/>
      <w:r>
        <w:rPr>
          <w:rFonts w:ascii="方正仿宋_GBK" w:hAnsi="方正仿宋_GBK" w:eastAsia="方正仿宋_GBK" w:cs="方正仿宋_GBK"/>
          <w:color w:val="000000"/>
          <w:sz w:val="28"/>
        </w:rPr>
        <w:t>4.全国城乡划分清查经费绩效目标表</w:t>
      </w:r>
      <w:bookmarkEnd w:id="3"/>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13102423P00465110006H</w:t>
            </w:r>
          </w:p>
        </w:tc>
        <w:tc>
          <w:tcPr>
            <w:tcW w:w="1587" w:type="dxa"/>
            <w:vAlign w:val="center"/>
          </w:tcPr>
          <w:p>
            <w:pPr>
              <w:pStyle w:val="16"/>
            </w:pPr>
            <w:r>
              <w:t>项目名称</w:t>
            </w:r>
          </w:p>
        </w:tc>
        <w:tc>
          <w:tcPr>
            <w:tcW w:w="4422" w:type="dxa"/>
            <w:gridSpan w:val="3"/>
            <w:vAlign w:val="center"/>
          </w:tcPr>
          <w:p>
            <w:pPr>
              <w:pStyle w:val="18"/>
            </w:pPr>
            <w:r>
              <w:t>全国城乡划分清查经费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河北省统计局关于城乡划分清查工作的通知》（冀统制字【2009】92号）的规定，开展培训、调研、印刷等工作，起到准确评价我国城镇化水平、合理规划城乡布局、统筹城乡发展的一项基础性工作，也是规范我国统计工作的基础。</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1.根据《河北省统计局关于城乡划分清查工作的通知》（冀统制字【2009】92号）文件规定中，开展全国城乡划分清查工作，合理规划城乡布局、统筹城乡发展的一项基础性工作，也是规范我国统计工作的基础。</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印刷品合格率(%)</w:t>
            </w:r>
          </w:p>
        </w:tc>
        <w:tc>
          <w:tcPr>
            <w:tcW w:w="2891" w:type="dxa"/>
            <w:vAlign w:val="center"/>
          </w:tcPr>
          <w:p>
            <w:pPr>
              <w:pStyle w:val="18"/>
            </w:pPr>
            <w:r>
              <w:t>印刷品合格率(%)</w:t>
            </w:r>
          </w:p>
        </w:tc>
        <w:tc>
          <w:tcPr>
            <w:tcW w:w="1276" w:type="dxa"/>
            <w:vAlign w:val="center"/>
          </w:tcPr>
          <w:p>
            <w:pPr>
              <w:pStyle w:val="18"/>
            </w:pPr>
            <w:r>
              <w:t>≥95百分比</w:t>
            </w:r>
          </w:p>
        </w:tc>
        <w:tc>
          <w:tcPr>
            <w:tcW w:w="1843" w:type="dxa"/>
            <w:vAlign w:val="center"/>
          </w:tcPr>
          <w:p>
            <w:pPr>
              <w:pStyle w:val="18"/>
            </w:pPr>
            <w:r>
              <w:t>根据项目实施计划验收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质量合格率(%)</w:t>
            </w:r>
          </w:p>
        </w:tc>
        <w:tc>
          <w:tcPr>
            <w:tcW w:w="2891" w:type="dxa"/>
            <w:vAlign w:val="center"/>
          </w:tcPr>
          <w:p>
            <w:pPr>
              <w:pStyle w:val="18"/>
            </w:pPr>
            <w:r>
              <w:t>质量合格率(%)</w:t>
            </w:r>
          </w:p>
        </w:tc>
        <w:tc>
          <w:tcPr>
            <w:tcW w:w="1276" w:type="dxa"/>
            <w:vAlign w:val="center"/>
          </w:tcPr>
          <w:p>
            <w:pPr>
              <w:pStyle w:val="18"/>
            </w:pPr>
            <w:r>
              <w:t>≥95百分比</w:t>
            </w:r>
          </w:p>
        </w:tc>
        <w:tc>
          <w:tcPr>
            <w:tcW w:w="1843" w:type="dxa"/>
            <w:vAlign w:val="center"/>
          </w:tcPr>
          <w:p>
            <w:pPr>
              <w:pStyle w:val="18"/>
            </w:pPr>
            <w:r>
              <w:t>根据项目实施计划验收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工作任务完成及时率</w:t>
            </w:r>
          </w:p>
        </w:tc>
        <w:tc>
          <w:tcPr>
            <w:tcW w:w="2891" w:type="dxa"/>
            <w:vAlign w:val="center"/>
          </w:tcPr>
          <w:p>
            <w:pPr>
              <w:pStyle w:val="18"/>
            </w:pPr>
            <w:r>
              <w:t>工作任务完成及时率</w:t>
            </w:r>
          </w:p>
        </w:tc>
        <w:tc>
          <w:tcPr>
            <w:tcW w:w="1276" w:type="dxa"/>
            <w:vAlign w:val="center"/>
          </w:tcPr>
          <w:p>
            <w:pPr>
              <w:pStyle w:val="18"/>
            </w:pPr>
            <w:r>
              <w:t>≥95百分比</w:t>
            </w:r>
          </w:p>
        </w:tc>
        <w:tc>
          <w:tcPr>
            <w:tcW w:w="1843" w:type="dxa"/>
            <w:vAlign w:val="center"/>
          </w:tcPr>
          <w:p>
            <w:pPr>
              <w:pStyle w:val="18"/>
            </w:pPr>
            <w:r>
              <w:t>根据项目实施计划验收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按总成本控制</w:t>
            </w:r>
          </w:p>
        </w:tc>
        <w:tc>
          <w:tcPr>
            <w:tcW w:w="2891" w:type="dxa"/>
            <w:vAlign w:val="center"/>
          </w:tcPr>
          <w:p>
            <w:pPr>
              <w:pStyle w:val="18"/>
            </w:pPr>
            <w:r>
              <w:t>按总成本控制</w:t>
            </w:r>
          </w:p>
        </w:tc>
        <w:tc>
          <w:tcPr>
            <w:tcW w:w="1276" w:type="dxa"/>
            <w:vAlign w:val="center"/>
          </w:tcPr>
          <w:p>
            <w:pPr>
              <w:pStyle w:val="18"/>
            </w:pPr>
            <w:r>
              <w:t>≤5万元</w:t>
            </w:r>
          </w:p>
        </w:tc>
        <w:tc>
          <w:tcPr>
            <w:tcW w:w="1843" w:type="dxa"/>
            <w:vAlign w:val="center"/>
          </w:tcPr>
          <w:p>
            <w:pPr>
              <w:pStyle w:val="18"/>
            </w:pPr>
            <w:r>
              <w:t>根据项目实施计划验收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调查报告</w:t>
            </w:r>
          </w:p>
        </w:tc>
        <w:tc>
          <w:tcPr>
            <w:tcW w:w="2891" w:type="dxa"/>
            <w:vAlign w:val="center"/>
          </w:tcPr>
          <w:p>
            <w:pPr>
              <w:pStyle w:val="18"/>
            </w:pPr>
            <w:r>
              <w:t>调查报告</w:t>
            </w:r>
          </w:p>
        </w:tc>
        <w:tc>
          <w:tcPr>
            <w:tcW w:w="1276" w:type="dxa"/>
            <w:vAlign w:val="center"/>
          </w:tcPr>
          <w:p>
            <w:pPr>
              <w:pStyle w:val="18"/>
            </w:pPr>
            <w:r>
              <w:t>通过调查报告分析，调研</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持续发展作用力</w:t>
            </w:r>
          </w:p>
        </w:tc>
        <w:tc>
          <w:tcPr>
            <w:tcW w:w="2891" w:type="dxa"/>
            <w:vAlign w:val="center"/>
          </w:tcPr>
          <w:p>
            <w:pPr>
              <w:pStyle w:val="18"/>
            </w:pPr>
            <w:r>
              <w:t>持续发展作用力</w:t>
            </w:r>
          </w:p>
        </w:tc>
        <w:tc>
          <w:tcPr>
            <w:tcW w:w="1276" w:type="dxa"/>
            <w:vAlign w:val="center"/>
          </w:tcPr>
          <w:p>
            <w:pPr>
              <w:pStyle w:val="18"/>
            </w:pPr>
            <w:r>
              <w:t>≥1年</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根据满意度调查结果</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4" w:name="_Toc_4_4_0000000008"/>
      <w:r>
        <w:rPr>
          <w:rFonts w:ascii="方正仿宋_GBK" w:hAnsi="方正仿宋_GBK" w:eastAsia="方正仿宋_GBK" w:cs="方正仿宋_GBK"/>
          <w:color w:val="000000"/>
          <w:sz w:val="28"/>
        </w:rPr>
        <w:t>5.全国劳动力资源和人口变动调查经费绩效目标表</w:t>
      </w:r>
      <w:bookmarkEnd w:id="4"/>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13102423P004UA410003E</w:t>
            </w:r>
          </w:p>
        </w:tc>
        <w:tc>
          <w:tcPr>
            <w:tcW w:w="1587" w:type="dxa"/>
            <w:vAlign w:val="center"/>
          </w:tcPr>
          <w:p>
            <w:pPr>
              <w:pStyle w:val="16"/>
            </w:pPr>
            <w:r>
              <w:t>项目名称</w:t>
            </w:r>
          </w:p>
        </w:tc>
        <w:tc>
          <w:tcPr>
            <w:tcW w:w="4422" w:type="dxa"/>
            <w:gridSpan w:val="3"/>
            <w:vAlign w:val="center"/>
          </w:tcPr>
          <w:p>
            <w:pPr>
              <w:pStyle w:val="18"/>
            </w:pPr>
            <w:r>
              <w:t>全国劳动力资源和人口变动调查经费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5.00</w:t>
            </w:r>
          </w:p>
        </w:tc>
        <w:tc>
          <w:tcPr>
            <w:tcW w:w="1587" w:type="dxa"/>
            <w:vAlign w:val="center"/>
          </w:tcPr>
          <w:p>
            <w:pPr>
              <w:pStyle w:val="16"/>
            </w:pPr>
            <w:r>
              <w:t>其中：财政    资金</w:t>
            </w:r>
          </w:p>
        </w:tc>
        <w:tc>
          <w:tcPr>
            <w:tcW w:w="1304" w:type="dxa"/>
            <w:vAlign w:val="center"/>
          </w:tcPr>
          <w:p>
            <w:pPr>
              <w:pStyle w:val="18"/>
            </w:pPr>
            <w:r>
              <w:t>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全国劳动力资源和人口变动调查是从2006年开始，用于及时反映劳动力资源和就业形态，准确把握人口变动及人口计划执行情况。在项目实施过程中主要负责在当地政府的领导下，对本辖区的调查工作全面负责，具体实施。</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关于建设全省劳动力调查制度的通知》（冀政办函【2006】16号）和《廊坊市人民政府办公室关于贯彻落实省政府办公厅冀政办函【2006】16号和冀政办字【2006】27号“两个通知”精神的通知》文件规定，实施全国劳动力资源和人口变动的工作，及时反映劳动力资源和就业形态，准确把握人口变动及人口计划执行情况。</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完成统计工作数量</w:t>
            </w:r>
          </w:p>
        </w:tc>
        <w:tc>
          <w:tcPr>
            <w:tcW w:w="2891" w:type="dxa"/>
            <w:vAlign w:val="center"/>
          </w:tcPr>
          <w:p>
            <w:pPr>
              <w:pStyle w:val="18"/>
            </w:pPr>
            <w:r>
              <w:t>完成统计工作数量</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信息统计调查完成率</w:t>
            </w:r>
          </w:p>
        </w:tc>
        <w:tc>
          <w:tcPr>
            <w:tcW w:w="2891" w:type="dxa"/>
            <w:vAlign w:val="center"/>
          </w:tcPr>
          <w:p>
            <w:pPr>
              <w:pStyle w:val="18"/>
            </w:pPr>
            <w:r>
              <w:t>信息统计调查完成率</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数据统计调查、分析监测等完成时</w:t>
            </w:r>
          </w:p>
        </w:tc>
        <w:tc>
          <w:tcPr>
            <w:tcW w:w="2891" w:type="dxa"/>
            <w:vAlign w:val="center"/>
          </w:tcPr>
          <w:p>
            <w:pPr>
              <w:pStyle w:val="18"/>
            </w:pPr>
            <w:r>
              <w:t>数据统计调查、分析监测等完成时限</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总成本</w:t>
            </w:r>
          </w:p>
        </w:tc>
        <w:tc>
          <w:tcPr>
            <w:tcW w:w="2891" w:type="dxa"/>
            <w:vAlign w:val="center"/>
          </w:tcPr>
          <w:p>
            <w:pPr>
              <w:pStyle w:val="18"/>
            </w:pPr>
            <w:r>
              <w:t>总成本</w:t>
            </w:r>
          </w:p>
        </w:tc>
        <w:tc>
          <w:tcPr>
            <w:tcW w:w="1276" w:type="dxa"/>
            <w:vAlign w:val="center"/>
          </w:tcPr>
          <w:p>
            <w:pPr>
              <w:pStyle w:val="18"/>
            </w:pPr>
            <w:r>
              <w:t>≤5万元</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有效促进全省劳动关系和谐稳定</w:t>
            </w:r>
          </w:p>
        </w:tc>
        <w:tc>
          <w:tcPr>
            <w:tcW w:w="2891" w:type="dxa"/>
            <w:vAlign w:val="center"/>
          </w:tcPr>
          <w:p>
            <w:pPr>
              <w:pStyle w:val="18"/>
            </w:pPr>
            <w:r>
              <w:t>有效促进全省劳动关系和谐稳定</w:t>
            </w:r>
          </w:p>
        </w:tc>
        <w:tc>
          <w:tcPr>
            <w:tcW w:w="1276" w:type="dxa"/>
            <w:vAlign w:val="center"/>
          </w:tcPr>
          <w:p>
            <w:pPr>
              <w:pStyle w:val="18"/>
            </w:pPr>
            <w:r>
              <w:t>有限促进劳动关系和谐稳定</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调查结果准确性</w:t>
            </w:r>
          </w:p>
        </w:tc>
        <w:tc>
          <w:tcPr>
            <w:tcW w:w="2891" w:type="dxa"/>
            <w:vAlign w:val="center"/>
          </w:tcPr>
          <w:p>
            <w:pPr>
              <w:pStyle w:val="18"/>
            </w:pPr>
            <w:r>
              <w:t>调查结果准确性</w:t>
            </w:r>
          </w:p>
        </w:tc>
        <w:tc>
          <w:tcPr>
            <w:tcW w:w="1276" w:type="dxa"/>
            <w:vAlign w:val="center"/>
          </w:tcPr>
          <w:p>
            <w:pPr>
              <w:pStyle w:val="18"/>
            </w:pPr>
            <w:r>
              <w:t>≥95百分比</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根据满意度调查问卷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5" w:name="_Toc_4_4_0000000009"/>
      <w:r>
        <w:rPr>
          <w:rFonts w:ascii="方正仿宋_GBK" w:hAnsi="方正仿宋_GBK" w:eastAsia="方正仿宋_GBK" w:cs="方正仿宋_GBK"/>
          <w:color w:val="000000"/>
          <w:sz w:val="28"/>
        </w:rPr>
        <w:t>6.日常业务费绩效目标表</w:t>
      </w:r>
      <w:bookmarkEnd w:id="5"/>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13102423P002TQE10003F</w:t>
            </w:r>
          </w:p>
        </w:tc>
        <w:tc>
          <w:tcPr>
            <w:tcW w:w="1587" w:type="dxa"/>
            <w:vAlign w:val="center"/>
          </w:tcPr>
          <w:p>
            <w:pPr>
              <w:pStyle w:val="16"/>
            </w:pPr>
            <w:r>
              <w:t>项目名称</w:t>
            </w:r>
          </w:p>
        </w:tc>
        <w:tc>
          <w:tcPr>
            <w:tcW w:w="4422" w:type="dxa"/>
            <w:gridSpan w:val="3"/>
            <w:vAlign w:val="center"/>
          </w:tcPr>
          <w:p>
            <w:pPr>
              <w:pStyle w:val="18"/>
            </w:pPr>
            <w:r>
              <w:t>日常业务费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21.14</w:t>
            </w:r>
          </w:p>
        </w:tc>
        <w:tc>
          <w:tcPr>
            <w:tcW w:w="1587" w:type="dxa"/>
            <w:vAlign w:val="center"/>
          </w:tcPr>
          <w:p>
            <w:pPr>
              <w:pStyle w:val="16"/>
            </w:pPr>
            <w:r>
              <w:t>其中：财政    资金</w:t>
            </w:r>
          </w:p>
        </w:tc>
        <w:tc>
          <w:tcPr>
            <w:tcW w:w="1304" w:type="dxa"/>
            <w:vAlign w:val="center"/>
          </w:tcPr>
          <w:p>
            <w:pPr>
              <w:pStyle w:val="18"/>
            </w:pPr>
            <w:r>
              <w:t>21.14</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根据2023年工作部署，开展日常业务费的实施，发放人员的工资及电费，提升了本单位的基本运转保障，促进了工作水平的总体提升。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1.根据2023年工作部署，开展日常业务费的实施，发放人员的工资及电费，提升了本单位的基本运转保障，促进了工作水平的总体提升。</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后勤保障工作完成率</w:t>
            </w:r>
          </w:p>
        </w:tc>
        <w:tc>
          <w:tcPr>
            <w:tcW w:w="2891" w:type="dxa"/>
            <w:vAlign w:val="center"/>
          </w:tcPr>
          <w:p>
            <w:pPr>
              <w:pStyle w:val="18"/>
            </w:pPr>
            <w:r>
              <w:t>后勤保障工作完成率</w:t>
            </w:r>
          </w:p>
        </w:tc>
        <w:tc>
          <w:tcPr>
            <w:tcW w:w="1276" w:type="dxa"/>
            <w:vAlign w:val="center"/>
          </w:tcPr>
          <w:p>
            <w:pPr>
              <w:pStyle w:val="18"/>
            </w:pPr>
            <w:r>
              <w:t>≥95百分比</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后勤服务保障率。</w:t>
            </w:r>
          </w:p>
        </w:tc>
        <w:tc>
          <w:tcPr>
            <w:tcW w:w="2891" w:type="dxa"/>
            <w:vAlign w:val="center"/>
          </w:tcPr>
          <w:p>
            <w:pPr>
              <w:pStyle w:val="18"/>
            </w:pPr>
            <w:r>
              <w:t>后勤服务保障率。</w:t>
            </w:r>
          </w:p>
        </w:tc>
        <w:tc>
          <w:tcPr>
            <w:tcW w:w="1276" w:type="dxa"/>
            <w:vAlign w:val="center"/>
          </w:tcPr>
          <w:p>
            <w:pPr>
              <w:pStyle w:val="18"/>
            </w:pPr>
            <w:r>
              <w:t>≥95百分比</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按照年度工作计划</w:t>
            </w:r>
          </w:p>
        </w:tc>
        <w:tc>
          <w:tcPr>
            <w:tcW w:w="2891" w:type="dxa"/>
            <w:vAlign w:val="center"/>
          </w:tcPr>
          <w:p>
            <w:pPr>
              <w:pStyle w:val="18"/>
            </w:pPr>
            <w:r>
              <w:t>按照年度工作计划</w:t>
            </w:r>
          </w:p>
        </w:tc>
        <w:tc>
          <w:tcPr>
            <w:tcW w:w="1276" w:type="dxa"/>
            <w:vAlign w:val="center"/>
          </w:tcPr>
          <w:p>
            <w:pPr>
              <w:pStyle w:val="18"/>
            </w:pPr>
            <w:r>
              <w:t>≥1年</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按照年度工作计划完成支出</w:t>
            </w:r>
          </w:p>
        </w:tc>
        <w:tc>
          <w:tcPr>
            <w:tcW w:w="2891" w:type="dxa"/>
            <w:vAlign w:val="center"/>
          </w:tcPr>
          <w:p>
            <w:pPr>
              <w:pStyle w:val="18"/>
            </w:pPr>
            <w:r>
              <w:t>按照年度工作计划完成支出</w:t>
            </w:r>
          </w:p>
        </w:tc>
        <w:tc>
          <w:tcPr>
            <w:tcW w:w="1276" w:type="dxa"/>
            <w:vAlign w:val="center"/>
          </w:tcPr>
          <w:p>
            <w:pPr>
              <w:pStyle w:val="18"/>
            </w:pPr>
            <w:r>
              <w:t>≤21.14万元</w:t>
            </w:r>
          </w:p>
        </w:tc>
        <w:tc>
          <w:tcPr>
            <w:tcW w:w="1843" w:type="dxa"/>
            <w:vAlign w:val="center"/>
          </w:tcPr>
          <w:p>
            <w:pPr>
              <w:pStyle w:val="18"/>
            </w:pPr>
            <w:r>
              <w:t>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保障机关单位正常运转</w:t>
            </w:r>
          </w:p>
        </w:tc>
        <w:tc>
          <w:tcPr>
            <w:tcW w:w="2891" w:type="dxa"/>
            <w:vAlign w:val="center"/>
          </w:tcPr>
          <w:p>
            <w:pPr>
              <w:pStyle w:val="18"/>
            </w:pPr>
            <w:r>
              <w:t>保障机关单位正常运转</w:t>
            </w:r>
          </w:p>
        </w:tc>
        <w:tc>
          <w:tcPr>
            <w:tcW w:w="1276" w:type="dxa"/>
            <w:vAlign w:val="center"/>
          </w:tcPr>
          <w:p>
            <w:pPr>
              <w:pStyle w:val="18"/>
            </w:pPr>
            <w:r>
              <w:t>保障机关的正常运转</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职工权益保障</w:t>
            </w:r>
          </w:p>
        </w:tc>
        <w:tc>
          <w:tcPr>
            <w:tcW w:w="2891" w:type="dxa"/>
            <w:vAlign w:val="center"/>
          </w:tcPr>
          <w:p>
            <w:pPr>
              <w:pStyle w:val="18"/>
            </w:pPr>
            <w:r>
              <w:t>职工权益保障</w:t>
            </w:r>
          </w:p>
        </w:tc>
        <w:tc>
          <w:tcPr>
            <w:tcW w:w="1276" w:type="dxa"/>
            <w:vAlign w:val="center"/>
          </w:tcPr>
          <w:p>
            <w:pPr>
              <w:pStyle w:val="18"/>
            </w:pPr>
            <w:r>
              <w:t>≥1年</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用人单位及工伤职工不定期问卷调</w:t>
            </w:r>
          </w:p>
        </w:tc>
        <w:tc>
          <w:tcPr>
            <w:tcW w:w="2891" w:type="dxa"/>
            <w:vAlign w:val="center"/>
          </w:tcPr>
          <w:p>
            <w:pPr>
              <w:pStyle w:val="18"/>
            </w:pPr>
            <w:r>
              <w:t>用人单位及工伤职工不定期问卷调查</w:t>
            </w:r>
          </w:p>
        </w:tc>
        <w:tc>
          <w:tcPr>
            <w:tcW w:w="1276" w:type="dxa"/>
            <w:vAlign w:val="center"/>
          </w:tcPr>
          <w:p>
            <w:pPr>
              <w:pStyle w:val="18"/>
            </w:pPr>
            <w:r>
              <w:t>≥95百分比</w:t>
            </w:r>
          </w:p>
        </w:tc>
        <w:tc>
          <w:tcPr>
            <w:tcW w:w="1843" w:type="dxa"/>
            <w:vAlign w:val="center"/>
          </w:tcPr>
          <w:p>
            <w:pPr>
              <w:pStyle w:val="18"/>
            </w:pPr>
            <w:r>
              <w:t>根据满意度调查问卷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6" w:name="_Toc_4_4_0000000010"/>
      <w:r>
        <w:rPr>
          <w:rFonts w:ascii="方正仿宋_GBK" w:hAnsi="方正仿宋_GBK" w:eastAsia="方正仿宋_GBK" w:cs="方正仿宋_GBK"/>
          <w:color w:val="000000"/>
          <w:sz w:val="28"/>
        </w:rPr>
        <w:t>7.统计改革经费绩效目标表</w:t>
      </w:r>
      <w:bookmarkEnd w:id="6"/>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13102423P00BQY3100034</w:t>
            </w:r>
          </w:p>
        </w:tc>
        <w:tc>
          <w:tcPr>
            <w:tcW w:w="1587" w:type="dxa"/>
            <w:vAlign w:val="center"/>
          </w:tcPr>
          <w:p>
            <w:pPr>
              <w:pStyle w:val="16"/>
            </w:pPr>
            <w:r>
              <w:t>项目名称</w:t>
            </w:r>
          </w:p>
        </w:tc>
        <w:tc>
          <w:tcPr>
            <w:tcW w:w="4422" w:type="dxa"/>
            <w:gridSpan w:val="3"/>
            <w:vAlign w:val="center"/>
          </w:tcPr>
          <w:p>
            <w:pPr>
              <w:pStyle w:val="18"/>
            </w:pPr>
            <w:r>
              <w:t>统计改革经费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15.00</w:t>
            </w:r>
          </w:p>
        </w:tc>
        <w:tc>
          <w:tcPr>
            <w:tcW w:w="1587" w:type="dxa"/>
            <w:vAlign w:val="center"/>
          </w:tcPr>
          <w:p>
            <w:pPr>
              <w:pStyle w:val="16"/>
            </w:pPr>
            <w:r>
              <w:t>其中：财政    资金</w:t>
            </w:r>
          </w:p>
        </w:tc>
        <w:tc>
          <w:tcPr>
            <w:tcW w:w="1304" w:type="dxa"/>
            <w:vAlign w:val="center"/>
          </w:tcPr>
          <w:p>
            <w:pPr>
              <w:pStyle w:val="18"/>
            </w:pPr>
            <w:r>
              <w:t>15.00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根据《关于进一步加强和改进统计工作的意见》等文件规定中，开展统计改革工作，逐步实现统计调查的科学规范、统计管理的严谨高效、统计服务的普惠优质。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1.根据《关于进一步加强和改进统计工作的意见》等文件规定中，开展统计改革工作，逐步实现统计调查的科学规范、统计管理的严谨高效、统计服务的普惠优质。</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印刷品合格率(%)</w:t>
            </w:r>
          </w:p>
        </w:tc>
        <w:tc>
          <w:tcPr>
            <w:tcW w:w="2891" w:type="dxa"/>
            <w:vAlign w:val="center"/>
          </w:tcPr>
          <w:p>
            <w:pPr>
              <w:pStyle w:val="18"/>
            </w:pPr>
            <w:r>
              <w:t>印刷品合格率(%)</w:t>
            </w:r>
          </w:p>
        </w:tc>
        <w:tc>
          <w:tcPr>
            <w:tcW w:w="1276" w:type="dxa"/>
            <w:vAlign w:val="center"/>
          </w:tcPr>
          <w:p>
            <w:pPr>
              <w:pStyle w:val="18"/>
            </w:pPr>
            <w:r>
              <w:t>≥95百分比</w:t>
            </w:r>
          </w:p>
        </w:tc>
        <w:tc>
          <w:tcPr>
            <w:tcW w:w="1843" w:type="dxa"/>
            <w:vAlign w:val="center"/>
          </w:tcPr>
          <w:p>
            <w:pPr>
              <w:pStyle w:val="18"/>
            </w:pPr>
            <w:r>
              <w:t>根据项目的实施计划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按时高质量完成印刷工作</w:t>
            </w:r>
          </w:p>
        </w:tc>
        <w:tc>
          <w:tcPr>
            <w:tcW w:w="2891" w:type="dxa"/>
            <w:vAlign w:val="center"/>
          </w:tcPr>
          <w:p>
            <w:pPr>
              <w:pStyle w:val="18"/>
            </w:pPr>
            <w:r>
              <w:t>按时高质量完成印刷工作</w:t>
            </w:r>
          </w:p>
        </w:tc>
        <w:tc>
          <w:tcPr>
            <w:tcW w:w="1276" w:type="dxa"/>
            <w:vAlign w:val="center"/>
          </w:tcPr>
          <w:p>
            <w:pPr>
              <w:pStyle w:val="18"/>
            </w:pPr>
            <w:r>
              <w:t>≥95百分比</w:t>
            </w:r>
          </w:p>
        </w:tc>
        <w:tc>
          <w:tcPr>
            <w:tcW w:w="1843" w:type="dxa"/>
            <w:vAlign w:val="center"/>
          </w:tcPr>
          <w:p>
            <w:pPr>
              <w:pStyle w:val="18"/>
            </w:pPr>
            <w:r>
              <w:t>根据项目的实施计划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按时完成印刷任务</w:t>
            </w:r>
          </w:p>
        </w:tc>
        <w:tc>
          <w:tcPr>
            <w:tcW w:w="2891" w:type="dxa"/>
            <w:vAlign w:val="center"/>
          </w:tcPr>
          <w:p>
            <w:pPr>
              <w:pStyle w:val="18"/>
            </w:pPr>
            <w:r>
              <w:t>按时完成印刷任务</w:t>
            </w:r>
          </w:p>
        </w:tc>
        <w:tc>
          <w:tcPr>
            <w:tcW w:w="1276" w:type="dxa"/>
            <w:vAlign w:val="center"/>
          </w:tcPr>
          <w:p>
            <w:pPr>
              <w:pStyle w:val="18"/>
            </w:pPr>
            <w:r>
              <w:t>≥95百分比</w:t>
            </w:r>
          </w:p>
        </w:tc>
        <w:tc>
          <w:tcPr>
            <w:tcW w:w="1843" w:type="dxa"/>
            <w:vAlign w:val="center"/>
          </w:tcPr>
          <w:p>
            <w:pPr>
              <w:pStyle w:val="18"/>
            </w:pPr>
            <w:r>
              <w:t>根据项目的实施计划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印刷成本</w:t>
            </w:r>
          </w:p>
        </w:tc>
        <w:tc>
          <w:tcPr>
            <w:tcW w:w="2891" w:type="dxa"/>
            <w:vAlign w:val="center"/>
          </w:tcPr>
          <w:p>
            <w:pPr>
              <w:pStyle w:val="18"/>
            </w:pPr>
            <w:r>
              <w:t>编印画册的单册成本</w:t>
            </w:r>
          </w:p>
        </w:tc>
        <w:tc>
          <w:tcPr>
            <w:tcW w:w="1276" w:type="dxa"/>
            <w:vAlign w:val="center"/>
          </w:tcPr>
          <w:p>
            <w:pPr>
              <w:pStyle w:val="18"/>
            </w:pPr>
            <w:r>
              <w:t>≤15万元</w:t>
            </w:r>
          </w:p>
        </w:tc>
        <w:tc>
          <w:tcPr>
            <w:tcW w:w="1843" w:type="dxa"/>
            <w:vAlign w:val="center"/>
          </w:tcPr>
          <w:p>
            <w:pPr>
              <w:pStyle w:val="18"/>
            </w:pPr>
            <w:r>
              <w:t>根据项目的实施计划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社会影响力</w:t>
            </w:r>
          </w:p>
        </w:tc>
        <w:tc>
          <w:tcPr>
            <w:tcW w:w="2891" w:type="dxa"/>
            <w:vAlign w:val="center"/>
          </w:tcPr>
          <w:p>
            <w:pPr>
              <w:pStyle w:val="18"/>
            </w:pPr>
            <w:r>
              <w:t>社会影响力</w:t>
            </w:r>
          </w:p>
        </w:tc>
        <w:tc>
          <w:tcPr>
            <w:tcW w:w="1276" w:type="dxa"/>
            <w:vAlign w:val="center"/>
          </w:tcPr>
          <w:p>
            <w:pPr>
              <w:pStyle w:val="18"/>
            </w:pPr>
            <w:r>
              <w:t>≥95百分比</w:t>
            </w:r>
          </w:p>
        </w:tc>
        <w:tc>
          <w:tcPr>
            <w:tcW w:w="1843" w:type="dxa"/>
            <w:vAlign w:val="center"/>
          </w:tcPr>
          <w:p>
            <w:pPr>
              <w:pStyle w:val="18"/>
            </w:pPr>
            <w:r>
              <w:t>根据项目的实施效果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可持续性服务</w:t>
            </w:r>
          </w:p>
        </w:tc>
        <w:tc>
          <w:tcPr>
            <w:tcW w:w="2891" w:type="dxa"/>
            <w:vAlign w:val="center"/>
          </w:tcPr>
          <w:p>
            <w:pPr>
              <w:pStyle w:val="18"/>
            </w:pPr>
            <w:r>
              <w:t>可持续性服务</w:t>
            </w:r>
          </w:p>
        </w:tc>
        <w:tc>
          <w:tcPr>
            <w:tcW w:w="1276" w:type="dxa"/>
            <w:vAlign w:val="center"/>
          </w:tcPr>
          <w:p>
            <w:pPr>
              <w:pStyle w:val="18"/>
            </w:pPr>
            <w:r>
              <w:t>≥1年</w:t>
            </w:r>
          </w:p>
        </w:tc>
        <w:tc>
          <w:tcPr>
            <w:tcW w:w="1843" w:type="dxa"/>
            <w:vAlign w:val="center"/>
          </w:tcPr>
          <w:p>
            <w:pPr>
              <w:pStyle w:val="18"/>
            </w:pPr>
            <w:r>
              <w:t>根据项目的实施效果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满意率</w:t>
            </w:r>
          </w:p>
        </w:tc>
        <w:tc>
          <w:tcPr>
            <w:tcW w:w="2891" w:type="dxa"/>
            <w:vAlign w:val="center"/>
          </w:tcPr>
          <w:p>
            <w:pPr>
              <w:pStyle w:val="18"/>
            </w:pPr>
            <w:r>
              <w:t>满意率</w:t>
            </w:r>
          </w:p>
        </w:tc>
        <w:tc>
          <w:tcPr>
            <w:tcW w:w="1276" w:type="dxa"/>
            <w:vAlign w:val="center"/>
          </w:tcPr>
          <w:p>
            <w:pPr>
              <w:pStyle w:val="18"/>
            </w:pPr>
            <w:r>
              <w:t>≥95百分比</w:t>
            </w:r>
          </w:p>
        </w:tc>
        <w:tc>
          <w:tcPr>
            <w:tcW w:w="1843" w:type="dxa"/>
            <w:vAlign w:val="center"/>
          </w:tcPr>
          <w:p>
            <w:pPr>
              <w:pStyle w:val="18"/>
            </w:pPr>
            <w:r>
              <w:t>根据满意度调查问卷</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7" w:name="_Toc_4_4_0000000011"/>
      <w:r>
        <w:rPr>
          <w:rFonts w:ascii="方正仿宋_GBK" w:hAnsi="方正仿宋_GBK" w:eastAsia="方正仿宋_GBK" w:cs="方正仿宋_GBK"/>
          <w:color w:val="000000"/>
          <w:sz w:val="28"/>
        </w:rPr>
        <w:t>8.统计基层基础建设经费绩效目标表</w:t>
      </w:r>
      <w:bookmarkEnd w:id="7"/>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13102423P001WH310003B</w:t>
            </w:r>
          </w:p>
        </w:tc>
        <w:tc>
          <w:tcPr>
            <w:tcW w:w="1587" w:type="dxa"/>
            <w:vAlign w:val="center"/>
          </w:tcPr>
          <w:p>
            <w:pPr>
              <w:pStyle w:val="16"/>
            </w:pPr>
            <w:r>
              <w:t>项目名称</w:t>
            </w:r>
          </w:p>
        </w:tc>
        <w:tc>
          <w:tcPr>
            <w:tcW w:w="4422" w:type="dxa"/>
            <w:gridSpan w:val="3"/>
            <w:vAlign w:val="center"/>
          </w:tcPr>
          <w:p>
            <w:pPr>
              <w:pStyle w:val="18"/>
            </w:pPr>
            <w:r>
              <w:t>统计基层基础建设经费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30.00</w:t>
            </w:r>
          </w:p>
        </w:tc>
        <w:tc>
          <w:tcPr>
            <w:tcW w:w="1587" w:type="dxa"/>
            <w:vAlign w:val="center"/>
          </w:tcPr>
          <w:p>
            <w:pPr>
              <w:pStyle w:val="16"/>
            </w:pPr>
            <w:r>
              <w:t>其中：财政    资金</w:t>
            </w:r>
          </w:p>
        </w:tc>
        <w:tc>
          <w:tcPr>
            <w:tcW w:w="1304" w:type="dxa"/>
            <w:vAlign w:val="center"/>
          </w:tcPr>
          <w:p>
            <w:pPr>
              <w:pStyle w:val="18"/>
            </w:pPr>
            <w:r>
              <w:t>30.00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根据2023年工作计划及工作部署，拨到每乡镇园区各2万元，用于基础基础建设，解决当前统计力量薄弱、人员素质不高、经费保障不足、规范管理不强等问题，确保努力打造一支业务精通、作风扎实、适应统计改革和发展需要的基层统计队伍。</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根据2023年工作计划及工作部署，拨到每乡镇园区各2万元，用于基础基础建设，解决当前统计力量薄弱、人员素质不高、经费保障不足、规范管理不强等问题，确保努力打造一支业务精通、作风扎实、适应统计改革和发展需要的基层统计队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培训覆盖率（%）</w:t>
            </w:r>
          </w:p>
        </w:tc>
        <w:tc>
          <w:tcPr>
            <w:tcW w:w="2891" w:type="dxa"/>
            <w:vAlign w:val="center"/>
          </w:tcPr>
          <w:p>
            <w:pPr>
              <w:pStyle w:val="18"/>
            </w:pPr>
            <w:r>
              <w:t>培训覆盖率（%）</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培训合格率</w:t>
            </w:r>
          </w:p>
        </w:tc>
        <w:tc>
          <w:tcPr>
            <w:tcW w:w="2891" w:type="dxa"/>
            <w:vAlign w:val="center"/>
          </w:tcPr>
          <w:p>
            <w:pPr>
              <w:pStyle w:val="18"/>
            </w:pPr>
            <w:r>
              <w:t>培训合格率</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工作任务完成及时率</w:t>
            </w:r>
          </w:p>
        </w:tc>
        <w:tc>
          <w:tcPr>
            <w:tcW w:w="2891" w:type="dxa"/>
            <w:vAlign w:val="center"/>
          </w:tcPr>
          <w:p>
            <w:pPr>
              <w:pStyle w:val="18"/>
            </w:pPr>
            <w:r>
              <w:t>工作任务完成及时率</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成本控制率(%)</w:t>
            </w:r>
          </w:p>
        </w:tc>
        <w:tc>
          <w:tcPr>
            <w:tcW w:w="2891" w:type="dxa"/>
            <w:vAlign w:val="center"/>
          </w:tcPr>
          <w:p>
            <w:pPr>
              <w:pStyle w:val="18"/>
            </w:pPr>
            <w:r>
              <w:t>成本控制率(%)</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提高基层公共服务人员的政策</w:t>
            </w:r>
          </w:p>
        </w:tc>
        <w:tc>
          <w:tcPr>
            <w:tcW w:w="2891" w:type="dxa"/>
            <w:vAlign w:val="center"/>
          </w:tcPr>
          <w:p>
            <w:pPr>
              <w:pStyle w:val="18"/>
            </w:pPr>
            <w:r>
              <w:t>提高基层公共服务人员的政策水平和专业服务能力。</w:t>
            </w:r>
          </w:p>
        </w:tc>
        <w:tc>
          <w:tcPr>
            <w:tcW w:w="1276" w:type="dxa"/>
            <w:vAlign w:val="center"/>
          </w:tcPr>
          <w:p>
            <w:pPr>
              <w:pStyle w:val="18"/>
            </w:pPr>
            <w:r>
              <w:t>有一定的社会效益</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w:t>
            </w:r>
          </w:p>
        </w:tc>
        <w:tc>
          <w:tcPr>
            <w:tcW w:w="2891" w:type="dxa"/>
            <w:vAlign w:val="center"/>
          </w:tcPr>
          <w:p>
            <w:pPr>
              <w:pStyle w:val="18"/>
            </w:pPr>
            <w:r>
              <w:t>可持续性</w:t>
            </w:r>
          </w:p>
        </w:tc>
        <w:tc>
          <w:tcPr>
            <w:tcW w:w="1276" w:type="dxa"/>
            <w:vAlign w:val="center"/>
          </w:tcPr>
          <w:p>
            <w:pPr>
              <w:pStyle w:val="18"/>
            </w:pPr>
            <w:r>
              <w:t>≥1年</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参与单位满意度</w:t>
            </w:r>
          </w:p>
        </w:tc>
        <w:tc>
          <w:tcPr>
            <w:tcW w:w="2891" w:type="dxa"/>
            <w:vAlign w:val="center"/>
          </w:tcPr>
          <w:p>
            <w:pPr>
              <w:pStyle w:val="18"/>
            </w:pPr>
            <w:r>
              <w:t>参与单位满意度</w:t>
            </w:r>
          </w:p>
        </w:tc>
        <w:tc>
          <w:tcPr>
            <w:tcW w:w="1276" w:type="dxa"/>
            <w:vAlign w:val="center"/>
          </w:tcPr>
          <w:p>
            <w:pPr>
              <w:pStyle w:val="18"/>
            </w:pPr>
            <w:r>
              <w:t>≥95百分比</w:t>
            </w:r>
          </w:p>
        </w:tc>
        <w:tc>
          <w:tcPr>
            <w:tcW w:w="1843" w:type="dxa"/>
            <w:vAlign w:val="center"/>
          </w:tcPr>
          <w:p>
            <w:pPr>
              <w:pStyle w:val="18"/>
            </w:pPr>
            <w:r>
              <w:t>根据项目满意度调查</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8" w:name="_Toc_4_4_0000000012"/>
      <w:r>
        <w:rPr>
          <w:rFonts w:ascii="方正仿宋_GBK" w:hAnsi="方正仿宋_GBK" w:eastAsia="方正仿宋_GBK" w:cs="方正仿宋_GBK"/>
          <w:color w:val="000000"/>
          <w:sz w:val="28"/>
        </w:rPr>
        <w:t>9.现代服务业和装备制造业统计经费绩效目标表</w:t>
      </w:r>
      <w:bookmarkEnd w:id="8"/>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13102423P00XE7X10003J</w:t>
            </w:r>
          </w:p>
        </w:tc>
        <w:tc>
          <w:tcPr>
            <w:tcW w:w="1587" w:type="dxa"/>
            <w:vAlign w:val="center"/>
          </w:tcPr>
          <w:p>
            <w:pPr>
              <w:pStyle w:val="16"/>
            </w:pPr>
            <w:r>
              <w:t>项目名称</w:t>
            </w:r>
          </w:p>
        </w:tc>
        <w:tc>
          <w:tcPr>
            <w:tcW w:w="4422" w:type="dxa"/>
            <w:gridSpan w:val="3"/>
            <w:vAlign w:val="center"/>
          </w:tcPr>
          <w:p>
            <w:pPr>
              <w:pStyle w:val="18"/>
            </w:pPr>
            <w:r>
              <w:t>现代服务业和装备制造业统计经费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8.00</w:t>
            </w:r>
          </w:p>
        </w:tc>
        <w:tc>
          <w:tcPr>
            <w:tcW w:w="1587" w:type="dxa"/>
            <w:vAlign w:val="center"/>
          </w:tcPr>
          <w:p>
            <w:pPr>
              <w:pStyle w:val="16"/>
            </w:pPr>
            <w:r>
              <w:t>其中：财政    资金</w:t>
            </w:r>
          </w:p>
        </w:tc>
        <w:tc>
          <w:tcPr>
            <w:tcW w:w="1304" w:type="dxa"/>
            <w:vAlign w:val="center"/>
          </w:tcPr>
          <w:p>
            <w:pPr>
              <w:pStyle w:val="18"/>
            </w:pPr>
            <w:r>
              <w:t>8.00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开展本项目主要解决建立现代服务业统计和完善规模以上装备制造业统计完整性，开展增加值核算工作建立完善的工作制度，确保应统尽统充分发挥统计部门职能的达成。</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1.开展本项目主要解决建立现代服务业统计和完善规模以上装备制造业统计完整性，开展增加值核算工作建立完善的工作制度，确保应统尽统充分发挥统计部门职能的达成。</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完成统计工作数量</w:t>
            </w:r>
          </w:p>
        </w:tc>
        <w:tc>
          <w:tcPr>
            <w:tcW w:w="2891" w:type="dxa"/>
            <w:vAlign w:val="center"/>
          </w:tcPr>
          <w:p>
            <w:pPr>
              <w:pStyle w:val="18"/>
            </w:pPr>
            <w:r>
              <w:t>完成统计工作数量</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信息统计调查完成率</w:t>
            </w:r>
          </w:p>
        </w:tc>
        <w:tc>
          <w:tcPr>
            <w:tcW w:w="2891" w:type="dxa"/>
            <w:vAlign w:val="center"/>
          </w:tcPr>
          <w:p>
            <w:pPr>
              <w:pStyle w:val="18"/>
            </w:pPr>
            <w:r>
              <w:t>信息统计调查完成率</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数据统计调查、分析监测等完成时</w:t>
            </w:r>
          </w:p>
        </w:tc>
        <w:tc>
          <w:tcPr>
            <w:tcW w:w="2891" w:type="dxa"/>
            <w:vAlign w:val="center"/>
          </w:tcPr>
          <w:p>
            <w:pPr>
              <w:pStyle w:val="18"/>
            </w:pPr>
            <w:r>
              <w:t>数据统计调查、分析监测等完成时限</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按总成本控制</w:t>
            </w:r>
          </w:p>
        </w:tc>
        <w:tc>
          <w:tcPr>
            <w:tcW w:w="2891" w:type="dxa"/>
            <w:vAlign w:val="center"/>
          </w:tcPr>
          <w:p>
            <w:pPr>
              <w:pStyle w:val="18"/>
            </w:pPr>
            <w:r>
              <w:t>按总成本控制</w:t>
            </w:r>
          </w:p>
        </w:tc>
        <w:tc>
          <w:tcPr>
            <w:tcW w:w="1276" w:type="dxa"/>
            <w:vAlign w:val="center"/>
          </w:tcPr>
          <w:p>
            <w:pPr>
              <w:pStyle w:val="18"/>
            </w:pPr>
            <w:r>
              <w:t>≤8万元</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对经济发展的促进作用</w:t>
            </w:r>
          </w:p>
        </w:tc>
        <w:tc>
          <w:tcPr>
            <w:tcW w:w="2891" w:type="dxa"/>
            <w:vAlign w:val="center"/>
          </w:tcPr>
          <w:p>
            <w:pPr>
              <w:pStyle w:val="18"/>
            </w:pPr>
            <w:r>
              <w:t>对经济发展的促进作用</w:t>
            </w:r>
          </w:p>
        </w:tc>
        <w:tc>
          <w:tcPr>
            <w:tcW w:w="1276" w:type="dxa"/>
            <w:vAlign w:val="center"/>
          </w:tcPr>
          <w:p>
            <w:pPr>
              <w:pStyle w:val="18"/>
            </w:pPr>
            <w:r>
              <w:t>有一定的社会效益</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w:t>
            </w:r>
          </w:p>
        </w:tc>
        <w:tc>
          <w:tcPr>
            <w:tcW w:w="2891" w:type="dxa"/>
            <w:vAlign w:val="center"/>
          </w:tcPr>
          <w:p>
            <w:pPr>
              <w:pStyle w:val="18"/>
            </w:pPr>
            <w:r>
              <w:t>可持续性</w:t>
            </w:r>
          </w:p>
        </w:tc>
        <w:tc>
          <w:tcPr>
            <w:tcW w:w="1276" w:type="dxa"/>
            <w:vAlign w:val="center"/>
          </w:tcPr>
          <w:p>
            <w:pPr>
              <w:pStyle w:val="18"/>
            </w:pPr>
            <w:r>
              <w:t>有一定的可持续性</w:t>
            </w:r>
          </w:p>
        </w:tc>
        <w:tc>
          <w:tcPr>
            <w:tcW w:w="1843" w:type="dxa"/>
            <w:vAlign w:val="center"/>
          </w:tcPr>
          <w:p>
            <w:pPr>
              <w:pStyle w:val="18"/>
            </w:pPr>
            <w:r>
              <w:t>根据项目预期效果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企业满意度</w:t>
            </w:r>
          </w:p>
        </w:tc>
        <w:tc>
          <w:tcPr>
            <w:tcW w:w="2891" w:type="dxa"/>
            <w:vAlign w:val="center"/>
          </w:tcPr>
          <w:p>
            <w:pPr>
              <w:pStyle w:val="18"/>
            </w:pPr>
            <w:r>
              <w:t>企业满意度</w:t>
            </w:r>
          </w:p>
        </w:tc>
        <w:tc>
          <w:tcPr>
            <w:tcW w:w="1276" w:type="dxa"/>
            <w:vAlign w:val="center"/>
          </w:tcPr>
          <w:p>
            <w:pPr>
              <w:pStyle w:val="18"/>
            </w:pPr>
            <w:r>
              <w:t>≥95满意度</w:t>
            </w:r>
          </w:p>
        </w:tc>
        <w:tc>
          <w:tcPr>
            <w:tcW w:w="1843" w:type="dxa"/>
            <w:vAlign w:val="center"/>
          </w:tcPr>
          <w:p>
            <w:pPr>
              <w:pStyle w:val="18"/>
            </w:pPr>
            <w:r>
              <w:t>根据满意度调查问卷结果</w:t>
            </w:r>
          </w:p>
        </w:tc>
      </w:tr>
    </w:tbl>
    <w:p>
      <w:pPr>
        <w:sectPr>
          <w:pgSz w:w="16840" w:h="11900" w:orient="landscape"/>
          <w:pgMar w:top="1304" w:right="1984" w:bottom="1304" w:left="1134" w:header="720" w:footer="720" w:gutter="0"/>
          <w:cols w:space="720" w:num="1"/>
        </w:sectPr>
      </w:pPr>
    </w:p>
    <w:p>
      <w:pPr>
        <w:spacing w:before="0" w:after="0" w:line="240" w:lineRule="auto"/>
        <w:ind w:firstLine="0"/>
        <w:jc w:val="center"/>
        <w:outlineLvl w:val="9"/>
      </w:pPr>
      <w:r>
        <w:rPr>
          <w:rFonts w:ascii="方正仿宋_GBK" w:hAnsi="方正仿宋_GBK" w:eastAsia="方正仿宋_GBK" w:cs="方正仿宋_GBK"/>
          <w:color w:val="000000"/>
          <w:sz w:val="28"/>
        </w:rPr>
        <w:t xml:space="preserve"> </w:t>
      </w:r>
    </w:p>
    <w:p>
      <w:pPr>
        <w:spacing w:before="0" w:after="0"/>
        <w:ind w:firstLine="560"/>
        <w:jc w:val="left"/>
        <w:outlineLvl w:val="3"/>
      </w:pPr>
      <w:bookmarkStart w:id="9" w:name="_Toc_4_4_0000000013"/>
      <w:r>
        <w:rPr>
          <w:rFonts w:ascii="方正仿宋_GBK" w:hAnsi="方正仿宋_GBK" w:eastAsia="方正仿宋_GBK" w:cs="方正仿宋_GBK"/>
          <w:color w:val="000000"/>
          <w:sz w:val="28"/>
        </w:rPr>
        <w:t>10.租金绩效目标表</w:t>
      </w:r>
      <w:bookmarkEnd w:id="9"/>
      <w:bookmarkStart w:id="12" w:name="_GoBack"/>
      <w:bookmarkEnd w:id="12"/>
    </w:p>
    <w:tbl>
      <w:tblPr>
        <w:tblStyle w:val="8"/>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1327"/>
        <w:gridCol w:w="1327"/>
        <w:gridCol w:w="1327"/>
        <w:gridCol w:w="1327"/>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22"/>
            </w:pPr>
            <w:r>
              <w:t>410001香河县统计局本级</w:t>
            </w:r>
          </w:p>
        </w:tc>
        <w:tc>
          <w:tcPr>
            <w:tcW w:w="1843" w:type="dxa"/>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8"/>
            </w:pPr>
            <w:r>
              <w:t>13102423P00783710119C</w:t>
            </w:r>
          </w:p>
        </w:tc>
        <w:tc>
          <w:tcPr>
            <w:tcW w:w="1587" w:type="dxa"/>
            <w:vAlign w:val="center"/>
          </w:tcPr>
          <w:p>
            <w:pPr>
              <w:pStyle w:val="16"/>
            </w:pPr>
            <w:r>
              <w:t>项目名称</w:t>
            </w:r>
          </w:p>
        </w:tc>
        <w:tc>
          <w:tcPr>
            <w:tcW w:w="4422" w:type="dxa"/>
            <w:gridSpan w:val="3"/>
            <w:vAlign w:val="center"/>
          </w:tcPr>
          <w:p>
            <w:pPr>
              <w:pStyle w:val="18"/>
            </w:pPr>
            <w:r>
              <w:t>租金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8"/>
            </w:pPr>
            <w:r>
              <w:t>160.00</w:t>
            </w:r>
          </w:p>
        </w:tc>
        <w:tc>
          <w:tcPr>
            <w:tcW w:w="1587" w:type="dxa"/>
            <w:vAlign w:val="center"/>
          </w:tcPr>
          <w:p>
            <w:pPr>
              <w:pStyle w:val="16"/>
            </w:pPr>
            <w:r>
              <w:t>其中：财政    资金</w:t>
            </w:r>
          </w:p>
        </w:tc>
        <w:tc>
          <w:tcPr>
            <w:tcW w:w="1304" w:type="dxa"/>
            <w:vAlign w:val="center"/>
          </w:tcPr>
          <w:p>
            <w:pPr>
              <w:pStyle w:val="18"/>
            </w:pPr>
            <w:r>
              <w:t>160.00</w:t>
            </w:r>
          </w:p>
        </w:tc>
        <w:tc>
          <w:tcPr>
            <w:tcW w:w="1276" w:type="dxa"/>
            <w:vAlign w:val="center"/>
          </w:tcPr>
          <w:p>
            <w:pPr>
              <w:pStyle w:val="16"/>
            </w:pPr>
            <w:r>
              <w:t>其他资金</w:t>
            </w:r>
          </w:p>
        </w:tc>
        <w:tc>
          <w:tcPr>
            <w:tcW w:w="1843" w:type="dxa"/>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8"/>
            </w:pPr>
            <w:r>
              <w:t>用于统计局、县志办、两河办、交通局地方道路管理站办公用房租赁。</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9"/>
            </w:pPr>
            <w:r>
              <w:t>30%</w:t>
            </w:r>
          </w:p>
        </w:tc>
        <w:tc>
          <w:tcPr>
            <w:tcW w:w="1587" w:type="dxa"/>
            <w:vAlign w:val="center"/>
          </w:tcPr>
          <w:p>
            <w:pPr>
              <w:pStyle w:val="19"/>
            </w:pPr>
            <w:r>
              <w:t>60%</w:t>
            </w:r>
          </w:p>
        </w:tc>
        <w:tc>
          <w:tcPr>
            <w:tcW w:w="1304" w:type="dxa"/>
            <w:vAlign w:val="center"/>
          </w:tcPr>
          <w:p>
            <w:pPr>
              <w:pStyle w:val="19"/>
            </w:pPr>
            <w:r>
              <w:t>90%</w:t>
            </w:r>
          </w:p>
        </w:tc>
        <w:tc>
          <w:tcPr>
            <w:tcW w:w="3118" w:type="dxa"/>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8"/>
            </w:pPr>
            <w:r>
              <w:t>1.用于统计局、县志办、两河办、交通局地方道路管理站办公用房租赁，保障正常工作运转。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27"/>
        <w:gridCol w:w="1327"/>
        <w:gridCol w:w="1327"/>
        <w:gridCol w:w="2654"/>
        <w:gridCol w:w="1327"/>
        <w:gridCol w:w="13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产出指标</w:t>
            </w:r>
          </w:p>
        </w:tc>
        <w:tc>
          <w:tcPr>
            <w:tcW w:w="1276" w:type="dxa"/>
            <w:vAlign w:val="center"/>
          </w:tcPr>
          <w:p>
            <w:pPr>
              <w:pStyle w:val="18"/>
            </w:pPr>
            <w:r>
              <w:t>数量指标</w:t>
            </w:r>
          </w:p>
        </w:tc>
        <w:tc>
          <w:tcPr>
            <w:tcW w:w="1332" w:type="dxa"/>
            <w:vAlign w:val="center"/>
          </w:tcPr>
          <w:p>
            <w:pPr>
              <w:pStyle w:val="18"/>
            </w:pPr>
            <w:r>
              <w:t>办公用房租赁</w:t>
            </w:r>
          </w:p>
        </w:tc>
        <w:tc>
          <w:tcPr>
            <w:tcW w:w="2891" w:type="dxa"/>
            <w:vAlign w:val="center"/>
          </w:tcPr>
          <w:p>
            <w:pPr>
              <w:pStyle w:val="18"/>
            </w:pPr>
            <w:r>
              <w:t>办公用房租赁</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质量指标</w:t>
            </w:r>
          </w:p>
        </w:tc>
        <w:tc>
          <w:tcPr>
            <w:tcW w:w="1332" w:type="dxa"/>
            <w:vAlign w:val="center"/>
          </w:tcPr>
          <w:p>
            <w:pPr>
              <w:pStyle w:val="18"/>
            </w:pPr>
            <w:r>
              <w:t>办公用房租赁</w:t>
            </w:r>
          </w:p>
        </w:tc>
        <w:tc>
          <w:tcPr>
            <w:tcW w:w="2891" w:type="dxa"/>
            <w:vAlign w:val="center"/>
          </w:tcPr>
          <w:p>
            <w:pPr>
              <w:pStyle w:val="18"/>
            </w:pPr>
            <w:r>
              <w:t>办公用房租赁</w:t>
            </w:r>
          </w:p>
        </w:tc>
        <w:tc>
          <w:tcPr>
            <w:tcW w:w="1276" w:type="dxa"/>
            <w:vAlign w:val="center"/>
          </w:tcPr>
          <w:p>
            <w:pPr>
              <w:pStyle w:val="18"/>
            </w:pPr>
            <w:r>
              <w:t>≥95百分比</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时效指标</w:t>
            </w:r>
          </w:p>
        </w:tc>
        <w:tc>
          <w:tcPr>
            <w:tcW w:w="1332" w:type="dxa"/>
            <w:vAlign w:val="center"/>
          </w:tcPr>
          <w:p>
            <w:pPr>
              <w:pStyle w:val="18"/>
            </w:pPr>
            <w:r>
              <w:t>租用时限</w:t>
            </w:r>
          </w:p>
        </w:tc>
        <w:tc>
          <w:tcPr>
            <w:tcW w:w="2891" w:type="dxa"/>
            <w:vAlign w:val="center"/>
          </w:tcPr>
          <w:p>
            <w:pPr>
              <w:pStyle w:val="18"/>
            </w:pPr>
            <w:r>
              <w:t>租用时限</w:t>
            </w:r>
          </w:p>
        </w:tc>
        <w:tc>
          <w:tcPr>
            <w:tcW w:w="1276" w:type="dxa"/>
            <w:vAlign w:val="center"/>
          </w:tcPr>
          <w:p>
            <w:pPr>
              <w:pStyle w:val="18"/>
            </w:pPr>
            <w:r>
              <w:t>≥1年</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成本指标</w:t>
            </w:r>
          </w:p>
        </w:tc>
        <w:tc>
          <w:tcPr>
            <w:tcW w:w="1332" w:type="dxa"/>
            <w:vAlign w:val="center"/>
          </w:tcPr>
          <w:p>
            <w:pPr>
              <w:pStyle w:val="18"/>
            </w:pPr>
            <w:r>
              <w:t>租用办公用房所需经费</w:t>
            </w:r>
          </w:p>
        </w:tc>
        <w:tc>
          <w:tcPr>
            <w:tcW w:w="2891" w:type="dxa"/>
            <w:vAlign w:val="center"/>
          </w:tcPr>
          <w:p>
            <w:pPr>
              <w:pStyle w:val="18"/>
            </w:pPr>
            <w:r>
              <w:t>租用办公用房所需经费</w:t>
            </w:r>
          </w:p>
        </w:tc>
        <w:tc>
          <w:tcPr>
            <w:tcW w:w="1276" w:type="dxa"/>
            <w:vAlign w:val="center"/>
          </w:tcPr>
          <w:p>
            <w:pPr>
              <w:pStyle w:val="18"/>
            </w:pPr>
            <w:r>
              <w:t>≤160万元</w:t>
            </w:r>
          </w:p>
        </w:tc>
        <w:tc>
          <w:tcPr>
            <w:tcW w:w="1843" w:type="dxa"/>
            <w:vAlign w:val="center"/>
          </w:tcPr>
          <w:p>
            <w:pPr>
              <w:pStyle w:val="18"/>
            </w:pPr>
            <w:r>
              <w:t>根据项目资金计划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9"/>
            </w:pPr>
            <w:r>
              <w:t>效益指标</w:t>
            </w:r>
          </w:p>
        </w:tc>
        <w:tc>
          <w:tcPr>
            <w:tcW w:w="1276" w:type="dxa"/>
            <w:vAlign w:val="center"/>
          </w:tcPr>
          <w:p>
            <w:pPr>
              <w:pStyle w:val="18"/>
            </w:pPr>
            <w:r>
              <w:t>社会效益指标</w:t>
            </w:r>
          </w:p>
        </w:tc>
        <w:tc>
          <w:tcPr>
            <w:tcW w:w="1332" w:type="dxa"/>
            <w:vAlign w:val="center"/>
          </w:tcPr>
          <w:p>
            <w:pPr>
              <w:pStyle w:val="18"/>
            </w:pPr>
            <w:r>
              <w:t>完成业务用房租赁及维护</w:t>
            </w:r>
          </w:p>
        </w:tc>
        <w:tc>
          <w:tcPr>
            <w:tcW w:w="2891" w:type="dxa"/>
            <w:vAlign w:val="center"/>
          </w:tcPr>
          <w:p>
            <w:pPr>
              <w:pStyle w:val="18"/>
            </w:pPr>
            <w:r>
              <w:t>完成业务用房租赁及维护</w:t>
            </w:r>
          </w:p>
        </w:tc>
        <w:tc>
          <w:tcPr>
            <w:tcW w:w="1276" w:type="dxa"/>
            <w:vAlign w:val="center"/>
          </w:tcPr>
          <w:p>
            <w:pPr>
              <w:pStyle w:val="18"/>
            </w:pPr>
            <w:r>
              <w:t>≥95百分比</w:t>
            </w:r>
          </w:p>
        </w:tc>
        <w:tc>
          <w:tcPr>
            <w:tcW w:w="1843" w:type="dxa"/>
            <w:vAlign w:val="center"/>
          </w:tcPr>
          <w:p>
            <w:pPr>
              <w:pStyle w:val="18"/>
            </w:pPr>
            <w:r>
              <w:t>根据项目预期产生的效果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8"/>
            </w:pPr>
            <w:r>
              <w:t>可持续影响指标</w:t>
            </w:r>
          </w:p>
        </w:tc>
        <w:tc>
          <w:tcPr>
            <w:tcW w:w="1332" w:type="dxa"/>
            <w:vAlign w:val="center"/>
          </w:tcPr>
          <w:p>
            <w:pPr>
              <w:pStyle w:val="18"/>
            </w:pPr>
            <w:r>
              <w:t>可持续性服务</w:t>
            </w:r>
          </w:p>
        </w:tc>
        <w:tc>
          <w:tcPr>
            <w:tcW w:w="2891" w:type="dxa"/>
            <w:vAlign w:val="center"/>
          </w:tcPr>
          <w:p>
            <w:pPr>
              <w:pStyle w:val="18"/>
            </w:pPr>
            <w:r>
              <w:t>可持续性服务</w:t>
            </w:r>
          </w:p>
        </w:tc>
        <w:tc>
          <w:tcPr>
            <w:tcW w:w="1276" w:type="dxa"/>
            <w:vAlign w:val="center"/>
          </w:tcPr>
          <w:p>
            <w:pPr>
              <w:pStyle w:val="18"/>
            </w:pPr>
            <w:r>
              <w:t>有一定的可持续性</w:t>
            </w:r>
          </w:p>
        </w:tc>
        <w:tc>
          <w:tcPr>
            <w:tcW w:w="1843" w:type="dxa"/>
            <w:vAlign w:val="center"/>
          </w:tcPr>
          <w:p>
            <w:pPr>
              <w:pStyle w:val="18"/>
            </w:pPr>
            <w:r>
              <w:t>根据项目预期产生的效果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9"/>
            </w:pPr>
            <w:r>
              <w:t>满意度指标</w:t>
            </w:r>
          </w:p>
        </w:tc>
        <w:tc>
          <w:tcPr>
            <w:tcW w:w="1276" w:type="dxa"/>
            <w:vAlign w:val="center"/>
          </w:tcPr>
          <w:p>
            <w:pPr>
              <w:pStyle w:val="18"/>
            </w:pPr>
            <w:r>
              <w:t>服务对象满意度指标</w:t>
            </w:r>
          </w:p>
        </w:tc>
        <w:tc>
          <w:tcPr>
            <w:tcW w:w="1332" w:type="dxa"/>
            <w:vAlign w:val="center"/>
          </w:tcPr>
          <w:p>
            <w:pPr>
              <w:pStyle w:val="18"/>
            </w:pPr>
            <w:r>
              <w:t>本单位职工满意度</w:t>
            </w:r>
          </w:p>
        </w:tc>
        <w:tc>
          <w:tcPr>
            <w:tcW w:w="2891" w:type="dxa"/>
            <w:vAlign w:val="center"/>
          </w:tcPr>
          <w:p>
            <w:pPr>
              <w:pStyle w:val="18"/>
            </w:pPr>
            <w:r>
              <w:t>本单位职工满意度</w:t>
            </w:r>
          </w:p>
        </w:tc>
        <w:tc>
          <w:tcPr>
            <w:tcW w:w="1276" w:type="dxa"/>
            <w:vAlign w:val="center"/>
          </w:tcPr>
          <w:p>
            <w:pPr>
              <w:pStyle w:val="18"/>
            </w:pPr>
            <w:r>
              <w:t>≥95百分比</w:t>
            </w:r>
          </w:p>
        </w:tc>
        <w:tc>
          <w:tcPr>
            <w:tcW w:w="1843" w:type="dxa"/>
            <w:vAlign w:val="center"/>
          </w:tcPr>
          <w:p>
            <w:pPr>
              <w:pStyle w:val="18"/>
            </w:pPr>
            <w:r>
              <w:t>根据满意度调查问卷或者数据统计</w:t>
            </w:r>
          </w:p>
        </w:tc>
      </w:tr>
    </w:tbl>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sectPr>
          <w:footerReference r:id="rId3" w:type="default"/>
          <w:pgSz w:w="16838" w:h="11906" w:orient="landscape"/>
          <w:pgMar w:top="1800" w:right="1440" w:bottom="1800" w:left="1440" w:header="851" w:footer="992" w:gutter="0"/>
          <w:cols w:space="425" w:num="1"/>
          <w:titlePg/>
          <w:docGrid w:type="lines" w:linePitch="312" w:charSpace="0"/>
        </w:sectPr>
      </w:pPr>
    </w:p>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0"/>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bookmarkStart w:id="11" w:name="_Toc64920910"/>
      <w:r>
        <w:rPr>
          <w:rFonts w:hint="eastAsia" w:ascii="方正小标宋_GBK" w:eastAsia="方正小标宋_GBK" w:cs="Times New Roman"/>
          <w:sz w:val="32"/>
        </w:rPr>
        <w:t>部门政府采购预算</w:t>
      </w:r>
      <w:bookmarkEnd w:id="11"/>
    </w:p>
    <w:p>
      <w:pPr>
        <w:spacing w:line="584" w:lineRule="exact"/>
        <w:outlineLvl w:val="1"/>
        <w:rPr>
          <w:rFonts w:ascii="方正小标宋_GBK" w:eastAsia="方正小标宋_GBK" w:cs="Times New Roman"/>
          <w:sz w:val="32"/>
        </w:rPr>
      </w:pPr>
      <w:r>
        <w:rPr>
          <w:rFonts w:hint="eastAsia"/>
          <w:lang w:eastAsia="zh-CN"/>
        </w:rPr>
        <w:t>香河县统计局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p>
        </w:tc>
        <w:tc>
          <w:tcPr>
            <w:tcW w:w="964" w:type="dxa"/>
            <w:vAlign w:val="center"/>
          </w:tcPr>
          <w:p>
            <w:pPr>
              <w:pStyle w:val="21"/>
              <w:spacing w:line="584" w:lineRule="exact"/>
            </w:pPr>
          </w:p>
        </w:tc>
        <w:tc>
          <w:tcPr>
            <w:tcW w:w="1134" w:type="dxa"/>
            <w:vAlign w:val="center"/>
          </w:tcPr>
          <w:p>
            <w:pPr>
              <w:pStyle w:val="22"/>
              <w:spacing w:line="584" w:lineRule="exact"/>
            </w:pPr>
          </w:p>
        </w:tc>
        <w:tc>
          <w:tcPr>
            <w:tcW w:w="1134" w:type="dxa"/>
            <w:vAlign w:val="center"/>
          </w:tcPr>
          <w:p>
            <w:pPr>
              <w:pStyle w:val="22"/>
              <w:spacing w:line="584" w:lineRule="exact"/>
            </w:pPr>
          </w:p>
        </w:tc>
        <w:tc>
          <w:tcPr>
            <w:tcW w:w="709" w:type="dxa"/>
            <w:vAlign w:val="center"/>
          </w:tcPr>
          <w:p>
            <w:pPr>
              <w:pStyle w:val="20"/>
              <w:spacing w:line="584" w:lineRule="exact"/>
            </w:pPr>
          </w:p>
        </w:tc>
        <w:tc>
          <w:tcPr>
            <w:tcW w:w="850" w:type="dxa"/>
            <w:vAlign w:val="center"/>
          </w:tcPr>
          <w:p>
            <w:pPr>
              <w:pStyle w:val="21"/>
              <w:spacing w:line="584" w:lineRule="exact"/>
            </w:pPr>
          </w:p>
        </w:tc>
        <w:tc>
          <w:tcPr>
            <w:tcW w:w="850"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spacing w:line="584" w:lineRule="exact"/>
            </w:pPr>
          </w:p>
        </w:tc>
        <w:tc>
          <w:tcPr>
            <w:tcW w:w="964" w:type="dxa"/>
            <w:vAlign w:val="center"/>
          </w:tcPr>
          <w:p>
            <w:pPr>
              <w:pStyle w:val="17"/>
              <w:spacing w:line="584" w:lineRule="exact"/>
            </w:pPr>
          </w:p>
        </w:tc>
        <w:tc>
          <w:tcPr>
            <w:tcW w:w="1134" w:type="dxa"/>
            <w:vAlign w:val="center"/>
          </w:tcPr>
          <w:p>
            <w:pPr>
              <w:pStyle w:val="18"/>
              <w:spacing w:line="584" w:lineRule="exact"/>
            </w:pPr>
          </w:p>
        </w:tc>
        <w:tc>
          <w:tcPr>
            <w:tcW w:w="1134" w:type="dxa"/>
            <w:vAlign w:val="center"/>
          </w:tcPr>
          <w:p>
            <w:pPr>
              <w:pStyle w:val="18"/>
              <w:spacing w:line="584" w:lineRule="exact"/>
            </w:pPr>
          </w:p>
        </w:tc>
        <w:tc>
          <w:tcPr>
            <w:tcW w:w="709" w:type="dxa"/>
            <w:vAlign w:val="center"/>
          </w:tcPr>
          <w:p>
            <w:pPr>
              <w:pStyle w:val="19"/>
              <w:spacing w:line="584" w:lineRule="exact"/>
            </w:pPr>
          </w:p>
        </w:tc>
        <w:tc>
          <w:tcPr>
            <w:tcW w:w="850" w:type="dxa"/>
            <w:vAlign w:val="center"/>
          </w:tcPr>
          <w:p>
            <w:pPr>
              <w:pStyle w:val="17"/>
              <w:spacing w:line="584" w:lineRule="exact"/>
            </w:pPr>
          </w:p>
        </w:tc>
        <w:tc>
          <w:tcPr>
            <w:tcW w:w="850"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c>
          <w:tcPr>
            <w:tcW w:w="964" w:type="dxa"/>
            <w:vAlign w:val="center"/>
          </w:tcPr>
          <w:p>
            <w:pPr>
              <w:pStyle w:val="17"/>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统计局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24.54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3.94</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计算机设备、打印设备、空调、办公家具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000000" w:themeColor="text1"/>
                <w:kern w:val="0"/>
                <w:sz w:val="22"/>
              </w:rPr>
              <w:t>编制部门：香河县</w:t>
            </w:r>
            <w:r>
              <w:rPr>
                <w:rFonts w:hint="eastAsia" w:ascii="Times New Roman" w:hAnsi="Times New Roman" w:eastAsia="仿宋_GB2312" w:cs="Times New Roman"/>
                <w:color w:val="000000" w:themeColor="text1"/>
                <w:kern w:val="0"/>
                <w:sz w:val="22"/>
                <w:lang w:eastAsia="zh-CN"/>
              </w:rPr>
              <w:t>统计局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9.7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14.81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ind w:firstLine="640" w:firstLineChars="200"/>
        <w:rPr>
          <w:rFonts w:ascii="Times New Roman" w:hAnsi="Times New Roman" w:eastAsia="仿宋_GB2312" w:cs="Times New Roman"/>
          <w:sz w:val="32"/>
          <w:szCs w:val="32"/>
        </w:rPr>
      </w:pP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p>
      <w:pPr>
        <w:spacing w:line="584" w:lineRule="exact"/>
        <w:ind w:firstLine="880" w:firstLineChars="200"/>
        <w:jc w:val="center"/>
        <w:rPr>
          <w:rFonts w:ascii="Times New Roman" w:hAnsi="Times New Roman" w:eastAsia="仿宋_GB2312" w:cs="Times New Roman"/>
          <w:sz w:val="44"/>
          <w:szCs w:val="44"/>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RlM2ZlYTA1YjQ5NjRhNThhNmQxYWM1Njc5Mjk2YzkifQ=="/>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2BCA2421"/>
    <w:rsid w:val="33E95BBD"/>
    <w:rsid w:val="698C5B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39"/>
    <w:rPr>
      <w:rFonts w:ascii="Times New Roman" w:hAnsi="Times New Roman" w:eastAsia="宋体" w:cs="Times New Roman"/>
      <w:szCs w:val="24"/>
    </w:rPr>
  </w:style>
  <w:style w:type="paragraph" w:styleId="6">
    <w:name w:val="footnote text"/>
    <w:basedOn w:val="1"/>
    <w:link w:val="15"/>
    <w:semiHidden/>
    <w:unhideWhenUsed/>
    <w:uiPriority w:val="99"/>
    <w:pPr>
      <w:snapToGrid w:val="0"/>
      <w:jc w:val="left"/>
    </w:pPr>
    <w:rPr>
      <w:rFonts w:ascii="Calibri" w:hAnsi="Calibri" w:eastAsia="宋体" w:cs="Times New Roman"/>
      <w:sz w:val="18"/>
      <w:szCs w:val="18"/>
    </w:rPr>
  </w:style>
  <w:style w:type="paragraph" w:styleId="7">
    <w:name w:val="toc 2"/>
    <w:basedOn w:val="1"/>
    <w:next w:val="1"/>
    <w:uiPriority w:val="39"/>
    <w:pPr>
      <w:ind w:left="420" w:leftChars="200"/>
    </w:pPr>
    <w:rPr>
      <w:rFonts w:ascii="Times New Roman" w:hAnsi="Times New Roman" w:eastAsia="宋体" w:cs="Times New Roman"/>
      <w:szCs w:val="24"/>
    </w:rPr>
  </w:style>
  <w:style w:type="character" w:styleId="10">
    <w:name w:val="footnote reference"/>
    <w:semiHidden/>
    <w:unhideWhenUsed/>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8889</Words>
  <Characters>9595</Characters>
  <Lines>31</Lines>
  <Paragraphs>8</Paragraphs>
  <TotalTime>12</TotalTime>
  <ScaleCrop>false</ScaleCrop>
  <LinksUpToDate>false</LinksUpToDate>
  <CharactersWithSpaces>9807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2023-03-02T01:36:41Z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64BF4FB981F9422C96EE026256699D63</vt:lpwstr>
  </property>
</Properties>
</file>